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410" w:leader="none"/>
          <w:tab w:val="left" w:pos="4536" w:leader="none"/>
          <w:tab w:val="left" w:pos="5529" w:leader="none"/>
        </w:tabs>
        <w:jc w:val="center"/>
        <w:rPr/>
      </w:pPr>
      <w:r>
        <w:rPr>
          <w:b/>
        </w:rPr>
        <w:t xml:space="preserve">FONDS DE COMPENSATION POUR LA TVA- ANNEE </w:t>
      </w:r>
    </w:p>
    <w:p>
      <w:pPr>
        <w:pStyle w:val="Normal"/>
        <w:tabs>
          <w:tab w:val="left" w:pos="2410" w:leader="none"/>
          <w:tab w:val="left" w:pos="4536" w:leader="none"/>
          <w:tab w:val="left" w:pos="5529" w:leader="none"/>
        </w:tabs>
        <w:jc w:val="center"/>
        <w:rPr>
          <w:b/>
          <w:b/>
        </w:rPr>
      </w:pPr>
      <w:r>
        <w:rPr>
          <w:b/>
        </w:rPr>
      </w:r>
    </w:p>
    <w:p>
      <w:pPr>
        <w:pStyle w:val="Normal"/>
        <w:tabs>
          <w:tab w:val="left" w:pos="2410" w:leader="none"/>
          <w:tab w:val="left" w:pos="4536" w:leader="none"/>
          <w:tab w:val="left" w:pos="5529" w:leader="none"/>
        </w:tabs>
        <w:jc w:val="center"/>
        <w:rPr>
          <w:b/>
          <w:b/>
        </w:rPr>
      </w:pPr>
      <w:r>
        <w:rPr>
          <w:b/>
        </w:rPr>
        <w:t>ETAT CONSOLIDE DES DEPENSES D’ENTRETIEN ET D’INVESTISSEMENT</w:t>
      </w:r>
    </w:p>
    <w:p>
      <w:pPr>
        <w:pStyle w:val="Normal"/>
        <w:tabs>
          <w:tab w:val="left" w:pos="720" w:leader="none"/>
        </w:tabs>
        <w:jc w:val="center"/>
        <w:rPr>
          <w:b/>
          <w:b/>
        </w:rPr>
      </w:pPr>
      <w:r>
        <w:rPr>
          <w:b/>
        </w:rPr>
        <w:t>OUVRANT DROIT AU FCTVA</w:t>
      </w:r>
    </w:p>
    <w:p>
      <w:pPr>
        <w:pStyle w:val="Normal"/>
        <w:tabs>
          <w:tab w:val="left" w:pos="720" w:leader="none"/>
        </w:tabs>
        <w:jc w:val="center"/>
        <w:rPr>
          <w:b/>
          <w:b/>
        </w:rPr>
      </w:pPr>
      <w:r>
        <w:rPr>
          <w:b/>
        </w:rPr>
      </w:r>
    </w:p>
    <w:p>
      <w:pPr>
        <w:pStyle w:val="Normal"/>
        <w:tabs>
          <w:tab w:val="left" w:pos="720" w:leader="none"/>
        </w:tabs>
        <w:jc w:val="center"/>
        <w:rPr/>
      </w:pPr>
      <w:r>
        <w:rPr/>
        <w:t xml:space="preserve"> </w:t>
      </w:r>
    </w:p>
    <w:tbl>
      <w:tblPr>
        <w:tblW w:w="9923" w:type="dxa"/>
        <w:jc w:val="center"/>
        <w:tblInd w:w="0" w:type="dxa"/>
        <w:tblBorders>
          <w:bottom w:val="single" w:sz="4" w:space="0" w:color="000000"/>
          <w:insideH w:val="single" w:sz="4" w:space="0" w:color="000000"/>
        </w:tblBorders>
        <w:tblCellMar>
          <w:top w:w="0" w:type="dxa"/>
          <w:left w:w="70" w:type="dxa"/>
          <w:bottom w:w="0" w:type="dxa"/>
          <w:right w:w="70" w:type="dxa"/>
        </w:tblCellMar>
        <w:tblLook w:val="0000"/>
      </w:tblPr>
      <w:tblGrid>
        <w:gridCol w:w="1134"/>
        <w:gridCol w:w="6"/>
        <w:gridCol w:w="2405"/>
        <w:gridCol w:w="817"/>
        <w:gridCol w:w="4002"/>
        <w:gridCol w:w="1559"/>
      </w:tblGrid>
      <w:tr>
        <w:trPr>
          <w:trHeight w:val="509" w:hRule="atLeast"/>
          <w:cantSplit w:val="true"/>
        </w:trPr>
        <w:tc>
          <w:tcPr>
            <w:tcW w:w="8364" w:type="dxa"/>
            <w:gridSpan w:val="5"/>
            <w:tcBorders>
              <w:bottom w:val="single" w:sz="4" w:space="0" w:color="000000"/>
              <w:insideH w:val="single" w:sz="4" w:space="0" w:color="000000"/>
            </w:tcBorders>
            <w:shd w:fill="auto" w:val="clear"/>
          </w:tcPr>
          <w:p>
            <w:pPr>
              <w:pStyle w:val="Normal"/>
              <w:tabs>
                <w:tab w:val="left" w:pos="2410" w:leader="none"/>
              </w:tabs>
              <w:rPr/>
            </w:pPr>
            <w:r>
              <w:rPr>
                <w:sz w:val="18"/>
              </w:rPr>
              <w:t xml:space="preserve">Commune ou établissement bénéficiaire : </w:t>
            </w:r>
          </w:p>
          <w:p>
            <w:pPr>
              <w:pStyle w:val="Normal"/>
              <w:tabs>
                <w:tab w:val="left" w:pos="2410" w:leader="none"/>
              </w:tabs>
              <w:rPr>
                <w:sz w:val="18"/>
              </w:rPr>
            </w:pPr>
            <w:r>
              <w:rPr>
                <w:sz w:val="18"/>
              </w:rPr>
            </w:r>
          </w:p>
          <w:p>
            <w:pPr>
              <w:pStyle w:val="Normal"/>
              <w:tabs>
                <w:tab w:val="left" w:pos="2410" w:leader="none"/>
              </w:tabs>
              <w:rPr>
                <w:sz w:val="18"/>
              </w:rPr>
            </w:pPr>
            <w:r>
              <w:rPr>
                <w:sz w:val="18"/>
              </w:rPr>
            </w:r>
          </w:p>
        </w:tc>
        <w:tc>
          <w:tcPr>
            <w:tcW w:w="155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tabs>
                <w:tab w:val="left" w:pos="2410" w:leader="none"/>
              </w:tabs>
              <w:spacing w:before="120" w:after="120"/>
              <w:jc w:val="center"/>
              <w:rPr>
                <w:sz w:val="18"/>
              </w:rPr>
            </w:pPr>
            <w:r>
              <w:rPr>
                <w:sz w:val="18"/>
              </w:rPr>
              <w:t>Montant</w:t>
            </w:r>
          </w:p>
        </w:tc>
      </w:tr>
      <w:tr>
        <w:trPr>
          <w:trHeight w:val="451"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rPr>
                <w:sz w:val="18"/>
              </w:rPr>
            </w:pPr>
            <w:r>
              <w:rPr>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spacing w:before="120" w:after="0"/>
              <w:jc w:val="center"/>
              <w:rPr>
                <w:b/>
                <w:b/>
                <w:sz w:val="20"/>
                <w:szCs w:val="20"/>
              </w:rPr>
            </w:pPr>
            <w:r>
              <w:rPr>
                <w:b/>
                <w:sz w:val="20"/>
                <w:szCs w:val="20"/>
              </w:rPr>
              <w:t xml:space="preserve">DEPENSES D’ENTRETIEN DES BATIMENTS PUBLICS, DE LA VOIRIE </w:t>
            </w:r>
            <w:r>
              <w:rPr>
                <w:sz w:val="20"/>
                <w:szCs w:val="20"/>
              </w:rPr>
              <w:t>(payées à compter du 1</w:t>
            </w:r>
            <w:r>
              <w:rPr>
                <w:sz w:val="20"/>
                <w:szCs w:val="20"/>
                <w:vertAlign w:val="superscript"/>
              </w:rPr>
              <w:t>er</w:t>
            </w:r>
            <w:r>
              <w:rPr>
                <w:sz w:val="20"/>
                <w:szCs w:val="20"/>
              </w:rPr>
              <w:t xml:space="preserve"> janvier 2016) </w:t>
            </w:r>
            <w:r>
              <w:rPr>
                <w:b/>
                <w:sz w:val="20"/>
                <w:szCs w:val="20"/>
              </w:rPr>
              <w:t>ET DES RESEAUX</w:t>
            </w:r>
            <w:r>
              <w:rPr>
                <w:sz w:val="20"/>
                <w:szCs w:val="20"/>
              </w:rPr>
              <w:t xml:space="preserve"> (payées à compter du 1</w:t>
            </w:r>
            <w:r>
              <w:rPr>
                <w:sz w:val="20"/>
                <w:szCs w:val="20"/>
                <w:vertAlign w:val="superscript"/>
              </w:rPr>
              <w:t>er</w:t>
            </w:r>
            <w:r>
              <w:rPr>
                <w:sz w:val="20"/>
                <w:szCs w:val="20"/>
              </w:rPr>
              <w:t xml:space="preserve"> janvier 2020)</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r>
        <w:trPr>
          <w:trHeight w:val="1019" w:hRule="atLeast"/>
          <w:cantSplit w:val="true"/>
        </w:trPr>
        <w:tc>
          <w:tcPr>
            <w:tcW w:w="1134" w:type="dxa"/>
            <w:vMerge w:val="restart"/>
            <w:tcBorders>
              <w:top w:val="single" w:sz="18" w:space="0" w:color="000000"/>
              <w:left w:val="single" w:sz="18" w:space="0" w:color="000000"/>
              <w:right w:val="single" w:sz="8" w:space="0" w:color="000000"/>
              <w:insideV w:val="single" w:sz="8" w:space="0" w:color="000000"/>
            </w:tcBorders>
            <w:shd w:fill="auto" w:val="clear"/>
          </w:tcPr>
          <w:p>
            <w:pPr>
              <w:pStyle w:val="Normal"/>
              <w:tabs>
                <w:tab w:val="left" w:pos="2410" w:leader="none"/>
              </w:tabs>
              <w:spacing w:before="120" w:after="120"/>
              <w:jc w:val="center"/>
              <w:rPr>
                <w:sz w:val="18"/>
              </w:rPr>
            </w:pPr>
            <w:r>
              <w:rPr>
                <w:b/>
                <w:sz w:val="18"/>
              </w:rPr>
              <w:t>A</w:t>
            </w:r>
            <w:r>
              <w:rPr>
                <w:sz w:val="18"/>
              </w:rPr>
              <w:t xml:space="preserve"> </w:t>
            </w:r>
          </w:p>
          <w:p>
            <w:pPr>
              <w:pStyle w:val="Normal"/>
              <w:tabs>
                <w:tab w:val="left" w:pos="2410" w:leader="none"/>
              </w:tabs>
              <w:spacing w:before="120" w:after="120"/>
              <w:jc w:val="center"/>
              <w:rPr>
                <w:b/>
                <w:b/>
                <w:sz w:val="18"/>
              </w:rPr>
            </w:pPr>
            <w:r>
              <w:rPr>
                <w:sz w:val="18"/>
              </w:rPr>
              <w:t xml:space="preserve">Total des comptes 615221 ou </w:t>
            </w:r>
            <w:r>
              <w:rPr>
                <w:sz w:val="18"/>
              </w:rPr>
              <w:t>61521, 615231, et 615232 ou 61523</w:t>
            </w:r>
          </w:p>
          <w:p>
            <w:pPr>
              <w:pStyle w:val="Normal"/>
              <w:tabs>
                <w:tab w:val="left" w:pos="2410" w:leader="none"/>
              </w:tabs>
              <w:spacing w:before="120" w:after="120"/>
              <w:jc w:val="center"/>
              <w:rPr>
                <w:b/>
                <w:b/>
                <w:sz w:val="18"/>
              </w:rPr>
            </w:pPr>
            <w:r>
              <w:rPr>
                <w:b/>
                <w:i/>
                <w:sz w:val="18"/>
              </w:rPr>
              <w:t>Etat 1-A</w:t>
            </w:r>
          </w:p>
        </w:tc>
        <w:tc>
          <w:tcPr>
            <w:tcW w:w="7230" w:type="dxa"/>
            <w:gridSpan w:val="4"/>
            <w:tcBorders>
              <w:top w:val="single" w:sz="18" w:space="0" w:color="000000"/>
              <w:left w:val="single" w:sz="8" w:space="0" w:color="000000"/>
              <w:right w:val="single" w:sz="8" w:space="0" w:color="000000"/>
              <w:insideV w:val="single" w:sz="8" w:space="0" w:color="000000"/>
            </w:tcBorders>
            <w:shd w:fill="auto" w:val="clear"/>
          </w:tcPr>
          <w:p>
            <w:pPr>
              <w:pStyle w:val="Normal"/>
              <w:tabs>
                <w:tab w:val="left" w:pos="2410" w:leader="none"/>
              </w:tabs>
              <w:spacing w:before="120" w:after="0"/>
              <w:rPr>
                <w:sz w:val="16"/>
              </w:rPr>
            </w:pPr>
            <w:r>
              <w:rPr>
                <w:sz w:val="16"/>
              </w:rPr>
              <w:t>BUDGET PRINCIPAL</w:t>
            </w:r>
          </w:p>
        </w:tc>
        <w:tc>
          <w:tcPr>
            <w:tcW w:w="1559" w:type="dxa"/>
            <w:tcBorders>
              <w:top w:val="single" w:sz="18" w:space="0" w:color="000000"/>
              <w:left w:val="single" w:sz="8"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left" w:pos="2410" w:leader="none"/>
              </w:tabs>
              <w:rPr>
                <w:sz w:val="18"/>
              </w:rPr>
            </w:pPr>
            <w:r>
              <w:rPr>
                <w:sz w:val="18"/>
              </w:rPr>
            </w:r>
          </w:p>
        </w:tc>
      </w:tr>
      <w:tr>
        <w:trPr>
          <w:trHeight w:val="1114" w:hRule="atLeast"/>
          <w:cantSplit w:val="true"/>
        </w:trPr>
        <w:tc>
          <w:tcPr>
            <w:tcW w:w="1134" w:type="dxa"/>
            <w:vMerge w:val="continue"/>
            <w:tcBorders>
              <w:left w:val="single" w:sz="18"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2410" w:leader="none"/>
              </w:tabs>
              <w:spacing w:before="120" w:after="120"/>
              <w:jc w:val="center"/>
              <w:rPr>
                <w:b/>
                <w:b/>
                <w:i/>
                <w:i/>
                <w:sz w:val="18"/>
              </w:rPr>
            </w:pPr>
            <w:r>
              <w:rPr>
                <w:b/>
                <w:i/>
                <w:sz w:val="18"/>
              </w:rPr>
            </w:r>
          </w:p>
        </w:tc>
        <w:tc>
          <w:tcPr>
            <w:tcW w:w="7230" w:type="dxa"/>
            <w:gridSpan w:val="4"/>
            <w:tcBorders>
              <w:top w:val="single" w:sz="6" w:space="0" w:color="000000"/>
              <w:left w:val="single" w:sz="8"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2410" w:leader="none"/>
              </w:tabs>
              <w:spacing w:before="120" w:after="0"/>
              <w:rPr>
                <w:sz w:val="16"/>
              </w:rPr>
            </w:pPr>
            <w:r>
              <w:rPr>
                <w:sz w:val="16"/>
              </w:rPr>
              <w:t>BUDGETS ANNEXES</w:t>
            </w:r>
          </w:p>
        </w:tc>
        <w:tc>
          <w:tcPr>
            <w:tcW w:w="1559" w:type="dxa"/>
            <w:tcBorders>
              <w:top w:val="single" w:sz="4"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left" w:pos="2410" w:leader="none"/>
              </w:tabs>
              <w:rPr>
                <w:sz w:val="18"/>
              </w:rPr>
            </w:pPr>
            <w:r>
              <w:rPr>
                <w:sz w:val="18"/>
              </w:rPr>
            </w:r>
          </w:p>
        </w:tc>
      </w:tr>
      <w:tr>
        <w:trPr>
          <w:trHeight w:val="479" w:hRule="atLeast"/>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left" w:pos="2410" w:leader="none"/>
              </w:tabs>
              <w:spacing w:before="120" w:after="120"/>
              <w:jc w:val="center"/>
              <w:rPr>
                <w:b/>
                <w:b/>
                <w:sz w:val="18"/>
              </w:rPr>
            </w:pPr>
            <w:r>
              <w:rPr>
                <w:b/>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2410" w:leader="none"/>
              </w:tabs>
              <w:spacing w:before="120" w:after="0"/>
              <w:jc w:val="right"/>
              <w:rPr>
                <w:b/>
                <w:b/>
                <w:sz w:val="18"/>
                <w:szCs w:val="18"/>
              </w:rPr>
            </w:pPr>
            <w:r>
              <w:rPr>
                <w:b/>
                <w:sz w:val="18"/>
                <w:szCs w:val="18"/>
              </w:rPr>
              <w:t>TOTAL A</w:t>
            </w:r>
          </w:p>
        </w:tc>
        <w:tc>
          <w:tcPr>
            <w:tcW w:w="1559" w:type="dxa"/>
            <w:tcBorders>
              <w:top w:val="single" w:sz="12" w:space="0" w:color="000000"/>
              <w:left w:val="single" w:sz="8"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left" w:pos="2410" w:leader="none"/>
              </w:tabs>
              <w:rPr>
                <w:sz w:val="18"/>
              </w:rPr>
            </w:pPr>
            <w:r>
              <w:rPr>
                <w:sz w:val="18"/>
              </w:rPr>
            </w:r>
          </w:p>
        </w:tc>
      </w:tr>
      <w:tr>
        <w:trPr>
          <w:trHeight w:val="676" w:hRule="atLeast"/>
          <w:cantSplit w:val="true"/>
        </w:trPr>
        <w:tc>
          <w:tcPr>
            <w:tcW w:w="1134" w:type="dxa"/>
            <w:tcBorders>
              <w:top w:val="single" w:sz="4" w:space="0" w:color="000000"/>
              <w:left w:val="single" w:sz="18"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left" w:pos="2410" w:leader="none"/>
              </w:tabs>
              <w:spacing w:before="120" w:after="120"/>
              <w:jc w:val="center"/>
              <w:rPr>
                <w:b/>
                <w:b/>
                <w:sz w:val="18"/>
              </w:rPr>
            </w:pPr>
            <w:r>
              <w:rPr>
                <w:b/>
                <w:sz w:val="18"/>
              </w:rPr>
              <w:t>B</w:t>
            </w:r>
          </w:p>
          <w:p>
            <w:pPr>
              <w:pStyle w:val="Normal"/>
              <w:tabs>
                <w:tab w:val="left" w:pos="2410" w:leader="none"/>
              </w:tabs>
              <w:spacing w:before="120" w:after="120"/>
              <w:jc w:val="center"/>
              <w:rPr>
                <w:b/>
                <w:b/>
                <w:sz w:val="18"/>
              </w:rPr>
            </w:pPr>
            <w:r>
              <w:rPr>
                <w:b/>
                <w:sz w:val="18"/>
              </w:rPr>
            </w:r>
          </w:p>
        </w:tc>
        <w:tc>
          <w:tcPr>
            <w:tcW w:w="7230" w:type="dxa"/>
            <w:gridSpan w:val="4"/>
            <w:tcBorders>
              <w:top w:val="single" w:sz="12" w:space="0" w:color="000000"/>
              <w:left w:val="single" w:sz="12"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left" w:pos="2410" w:leader="none"/>
              </w:tabs>
              <w:spacing w:before="120" w:after="0"/>
              <w:rPr>
                <w:sz w:val="16"/>
              </w:rPr>
            </w:pPr>
            <w:r>
              <w:rPr>
                <w:sz w:val="16"/>
              </w:rPr>
              <w:t>DEPENSES D’ENTRETIEN A DEDUIRE</w:t>
            </w:r>
          </w:p>
          <w:p>
            <w:pPr>
              <w:pStyle w:val="ListParagraph"/>
              <w:numPr>
                <w:ilvl w:val="0"/>
                <w:numId w:val="2"/>
              </w:numPr>
              <w:tabs>
                <w:tab w:val="left" w:pos="2410" w:leader="none"/>
              </w:tabs>
              <w:spacing w:before="120" w:after="0"/>
              <w:rPr>
                <w:rFonts w:ascii="Arial" w:hAnsi="Arial" w:cs="Arial"/>
                <w:b/>
                <w:b/>
                <w:i/>
                <w:i/>
                <w:sz w:val="18"/>
                <w:szCs w:val="18"/>
              </w:rPr>
            </w:pPr>
            <w:r>
              <w:rPr>
                <w:rFonts w:cs="Arial" w:ascii="Arial" w:hAnsi="Arial"/>
                <w:b/>
                <w:i/>
                <w:sz w:val="18"/>
                <w:szCs w:val="18"/>
              </w:rPr>
              <w:t>Etat n°2-A</w:t>
            </w:r>
          </w:p>
          <w:p>
            <w:pPr>
              <w:pStyle w:val="ListParagraph"/>
              <w:numPr>
                <w:ilvl w:val="0"/>
                <w:numId w:val="2"/>
              </w:numPr>
              <w:tabs>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d’entretien liées aux intempéries ayant déjà fait l’objet d’une attribution du FCTVA (décret intempérie exceptionnelle)</w:t>
            </w:r>
          </w:p>
          <w:p>
            <w:pPr>
              <w:pStyle w:val="Normal"/>
              <w:tabs>
                <w:tab w:val="left" w:pos="2410" w:leader="none"/>
              </w:tabs>
              <w:spacing w:before="120" w:after="0"/>
              <w:ind w:left="360" w:right="-375" w:hanging="0"/>
              <w:rPr>
                <w:sz w:val="16"/>
              </w:rPr>
            </w:pPr>
            <w:r>
              <w:rPr>
                <w:sz w:val="16"/>
              </w:rPr>
            </w:r>
          </w:p>
        </w:tc>
        <w:tc>
          <w:tcPr>
            <w:tcW w:w="1559" w:type="dxa"/>
            <w:tcBorders>
              <w:top w:val="single" w:sz="4" w:space="0" w:color="000000"/>
              <w:left w:val="single" w:sz="12"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r>
        <w:trPr>
          <w:trHeight w:val="539" w:hRule="atLeast"/>
          <w:cantSplit w:val="true"/>
        </w:trPr>
        <w:tc>
          <w:tcPr>
            <w:tcW w:w="8364" w:type="dxa"/>
            <w:gridSpan w:val="5"/>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tabs>
                <w:tab w:val="left" w:pos="345" w:leader="none"/>
                <w:tab w:val="left" w:pos="2410" w:leader="none"/>
                <w:tab w:val="right" w:pos="8224" w:leader="none"/>
              </w:tabs>
              <w:spacing w:before="120" w:after="0"/>
              <w:rPr>
                <w:b/>
                <w:b/>
                <w:sz w:val="18"/>
                <w:szCs w:val="18"/>
              </w:rPr>
            </w:pPr>
            <w:r>
              <w:rPr>
                <w:b/>
                <w:sz w:val="18"/>
                <w:szCs w:val="18"/>
              </w:rPr>
              <w:t xml:space="preserve">1 - </w:t>
              <w:tab/>
              <w:t>TOTAL  DES DEPENSES D’ENTRETIEN ELIGIBLES</w:t>
              <w:tab/>
              <w:t xml:space="preserve">TOTAL A - B </w:t>
              <w:tab/>
              <w:t>TOTAL A - B</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left" w:pos="2410" w:leader="none"/>
              </w:tabs>
              <w:rPr>
                <w:sz w:val="18"/>
              </w:rPr>
            </w:pPr>
            <w:r>
              <w:rPr>
                <w:sz w:val="18"/>
              </w:rPr>
            </w:r>
          </w:p>
        </w:tc>
      </w:tr>
      <w:tr>
        <w:trPr>
          <w:trHeight w:val="353" w:hRule="atLeast"/>
          <w:cantSplit w:val="true"/>
        </w:trPr>
        <w:tc>
          <w:tcPr>
            <w:tcW w:w="1134" w:type="dxa"/>
            <w:tcBorders>
              <w:top w:val="single" w:sz="18" w:space="0" w:color="000000"/>
            </w:tcBorders>
            <w:shd w:fill="auto" w:val="clear"/>
          </w:tcPr>
          <w:p>
            <w:pPr>
              <w:pStyle w:val="Normal"/>
              <w:tabs>
                <w:tab w:val="left" w:pos="2410" w:leader="none"/>
              </w:tabs>
              <w:spacing w:before="120" w:after="120"/>
              <w:jc w:val="center"/>
              <w:rPr>
                <w:b/>
                <w:b/>
                <w:sz w:val="18"/>
              </w:rPr>
            </w:pPr>
            <w:r>
              <w:rPr>
                <w:b/>
                <w:sz w:val="18"/>
              </w:rPr>
            </w:r>
          </w:p>
        </w:tc>
        <w:tc>
          <w:tcPr>
            <w:tcW w:w="7230" w:type="dxa"/>
            <w:gridSpan w:val="4"/>
            <w:tcBorders>
              <w:top w:val="single" w:sz="18" w:space="0" w:color="000000"/>
              <w:right w:val="single" w:sz="4" w:space="0" w:color="FFFFFF"/>
              <w:insideV w:val="single" w:sz="4" w:space="0" w:color="FFFFFF"/>
            </w:tcBorders>
            <w:shd w:fill="auto" w:val="clear"/>
          </w:tcPr>
          <w:p>
            <w:pPr>
              <w:pStyle w:val="Normal"/>
              <w:tabs>
                <w:tab w:val="left" w:pos="2410" w:leader="none"/>
              </w:tabs>
              <w:spacing w:before="120" w:after="0"/>
              <w:jc w:val="center"/>
              <w:rPr>
                <w:b/>
                <w:b/>
                <w:sz w:val="20"/>
                <w:szCs w:val="20"/>
              </w:rPr>
            </w:pPr>
            <w:r>
              <w:rPr>
                <w:b/>
                <w:sz w:val="20"/>
                <w:szCs w:val="20"/>
              </w:rPr>
            </w:r>
          </w:p>
        </w:tc>
        <w:tc>
          <w:tcPr>
            <w:tcW w:w="1559" w:type="dxa"/>
            <w:tcBorders>
              <w:top w:val="single" w:sz="18" w:space="0" w:color="000000"/>
              <w:left w:val="single" w:sz="4" w:space="0" w:color="FFFFFF"/>
            </w:tcBorders>
            <w:shd w:fill="auto" w:val="clear"/>
          </w:tcPr>
          <w:p>
            <w:pPr>
              <w:pStyle w:val="Normal"/>
              <w:tabs>
                <w:tab w:val="left" w:pos="2410" w:leader="none"/>
              </w:tabs>
              <w:rPr>
                <w:sz w:val="18"/>
              </w:rPr>
            </w:pPr>
            <w:r>
              <w:rPr>
                <w:sz w:val="18"/>
              </w:rPr>
            </w:r>
          </w:p>
        </w:tc>
      </w:tr>
      <w:tr>
        <w:trPr>
          <w:trHeight w:val="353" w:hRule="atLeast"/>
          <w:cantSplit w:val="true"/>
        </w:trPr>
        <w:tc>
          <w:tcPr>
            <w:tcW w:w="1134" w:type="dxa"/>
            <w:tcBorders>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spacing w:before="120" w:after="120"/>
              <w:jc w:val="center"/>
              <w:rPr>
                <w:b/>
                <w:b/>
                <w:sz w:val="18"/>
              </w:rPr>
            </w:pPr>
            <w:r>
              <w:rPr>
                <w:b/>
                <w:sz w:val="18"/>
              </w:rPr>
            </w:r>
          </w:p>
        </w:tc>
        <w:tc>
          <w:tcPr>
            <w:tcW w:w="7230" w:type="dxa"/>
            <w:gridSpan w:val="4"/>
            <w:tcBorders>
              <w:left w:val="single" w:sz="4" w:space="0" w:color="FFFFFF"/>
              <w:bottom w:val="single" w:sz="18" w:space="0" w:color="000000"/>
              <w:right w:val="single" w:sz="8" w:space="0" w:color="000000"/>
              <w:insideH w:val="single" w:sz="18" w:space="0" w:color="000000"/>
              <w:insideV w:val="single" w:sz="8" w:space="0" w:color="000000"/>
            </w:tcBorders>
            <w:shd w:fill="auto" w:val="clear"/>
          </w:tcPr>
          <w:p>
            <w:pPr>
              <w:pStyle w:val="Normal"/>
              <w:tabs>
                <w:tab w:val="left" w:pos="2410" w:leader="none"/>
              </w:tabs>
              <w:spacing w:before="120" w:after="0"/>
              <w:jc w:val="center"/>
              <w:rPr>
                <w:b/>
                <w:b/>
                <w:sz w:val="20"/>
                <w:szCs w:val="20"/>
              </w:rPr>
            </w:pPr>
            <w:r>
              <w:rPr>
                <w:b/>
                <w:sz w:val="20"/>
                <w:szCs w:val="20"/>
              </w:rPr>
            </w:r>
          </w:p>
        </w:tc>
        <w:tc>
          <w:tcPr>
            <w:tcW w:w="1559" w:type="dxa"/>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tabs>
                <w:tab w:val="left" w:pos="2410" w:leader="none"/>
              </w:tabs>
              <w:jc w:val="center"/>
              <w:rPr>
                <w:sz w:val="18"/>
              </w:rPr>
            </w:pPr>
            <w:r>
              <w:rPr>
                <w:sz w:val="18"/>
              </w:rPr>
              <w:t>Montant</w:t>
            </w:r>
          </w:p>
        </w:tc>
      </w:tr>
      <w:tr>
        <w:trPr>
          <w:trHeight w:val="353"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spacing w:before="120" w:after="120"/>
              <w:jc w:val="center"/>
              <w:rPr>
                <w:b/>
                <w:b/>
                <w:sz w:val="18"/>
              </w:rPr>
            </w:pPr>
            <w:r>
              <w:rPr>
                <w:b/>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spacing w:before="120" w:after="0"/>
              <w:jc w:val="center"/>
              <w:rPr>
                <w:sz w:val="16"/>
              </w:rPr>
            </w:pPr>
            <w:r>
              <w:rPr>
                <w:b/>
                <w:sz w:val="20"/>
                <w:szCs w:val="20"/>
              </w:rPr>
              <w:t>DEPENSES D’INVESTISSEMENT</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r>
        <w:trPr>
          <w:trHeight w:val="676" w:hRule="atLeast"/>
          <w:cantSplit w:val="true"/>
        </w:trPr>
        <w:tc>
          <w:tcPr>
            <w:tcW w:w="1134" w:type="dxa"/>
            <w:vMerge w:val="restart"/>
            <w:tcBorders>
              <w:top w:val="single" w:sz="18" w:space="0" w:color="000000"/>
              <w:left w:val="single" w:sz="18" w:space="0" w:color="000000"/>
            </w:tcBorders>
            <w:shd w:fill="auto" w:val="clear"/>
          </w:tcPr>
          <w:p>
            <w:pPr>
              <w:pStyle w:val="Normal"/>
              <w:tabs>
                <w:tab w:val="left" w:pos="2410" w:leader="none"/>
              </w:tabs>
              <w:spacing w:before="120" w:after="120"/>
              <w:jc w:val="center"/>
              <w:rPr>
                <w:b/>
                <w:b/>
                <w:sz w:val="18"/>
              </w:rPr>
            </w:pPr>
            <w:r>
              <w:rPr>
                <w:b/>
                <w:sz w:val="18"/>
              </w:rPr>
              <w:t>C</w:t>
            </w:r>
          </w:p>
          <w:p>
            <w:pPr>
              <w:pStyle w:val="Normal"/>
              <w:tabs>
                <w:tab w:val="left" w:pos="2410" w:leader="none"/>
              </w:tabs>
              <w:spacing w:before="120" w:after="120"/>
              <w:jc w:val="center"/>
              <w:rPr>
                <w:sz w:val="18"/>
              </w:rPr>
            </w:pPr>
            <w:r>
              <w:rPr>
                <w:sz w:val="18"/>
              </w:rPr>
              <w:t>Total des comptes, 21, 23, 202 et 205</w:t>
            </w:r>
          </w:p>
          <w:p>
            <w:pPr>
              <w:pStyle w:val="Normal"/>
              <w:tabs>
                <w:tab w:val="left" w:pos="2410" w:leader="none"/>
              </w:tabs>
              <w:spacing w:before="120" w:after="120"/>
              <w:jc w:val="center"/>
              <w:rPr>
                <w:b/>
                <w:b/>
                <w:sz w:val="18"/>
              </w:rPr>
            </w:pPr>
            <w:r>
              <w:rPr>
                <w:b/>
                <w:i/>
                <w:sz w:val="18"/>
              </w:rPr>
              <w:t>Etat 1-B</w:t>
            </w:r>
          </w:p>
        </w:tc>
        <w:tc>
          <w:tcPr>
            <w:tcW w:w="7230" w:type="dxa"/>
            <w:gridSpan w:val="4"/>
            <w:tcBorders>
              <w:top w:val="single" w:sz="18" w:space="0" w:color="000000"/>
              <w:left w:val="single" w:sz="6" w:space="0" w:color="000000"/>
              <w:right w:val="single" w:sz="4" w:space="0" w:color="000000"/>
              <w:insideV w:val="single" w:sz="4" w:space="0" w:color="000000"/>
            </w:tcBorders>
            <w:shd w:fill="auto" w:val="clear"/>
          </w:tcPr>
          <w:p>
            <w:pPr>
              <w:pStyle w:val="Normal"/>
              <w:tabs>
                <w:tab w:val="left" w:pos="2410" w:leader="none"/>
              </w:tabs>
              <w:spacing w:before="120" w:after="0"/>
              <w:rPr>
                <w:sz w:val="16"/>
              </w:rPr>
            </w:pPr>
            <w:r>
              <w:rPr>
                <w:sz w:val="16"/>
              </w:rPr>
              <w:t>BUDGET PRINCIPAL</w:t>
            </w:r>
          </w:p>
        </w:tc>
        <w:tc>
          <w:tcPr>
            <w:tcW w:w="1559"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left" w:pos="2410" w:leader="none"/>
              </w:tabs>
              <w:rPr>
                <w:sz w:val="18"/>
              </w:rPr>
            </w:pPr>
            <w:r>
              <w:rPr>
                <w:sz w:val="18"/>
              </w:rPr>
            </w:r>
          </w:p>
        </w:tc>
      </w:tr>
      <w:tr>
        <w:trPr>
          <w:trHeight w:val="739" w:hRule="atLeast"/>
          <w:cantSplit w:val="true"/>
        </w:trPr>
        <w:tc>
          <w:tcPr>
            <w:tcW w:w="1134" w:type="dxa"/>
            <w:vMerge w:val="continue"/>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6" w:space="0" w:color="000000"/>
              <w:left w:val="single" w:sz="6" w:space="0" w:color="000000"/>
            </w:tcBorders>
            <w:shd w:fill="auto" w:val="clear"/>
          </w:tcPr>
          <w:p>
            <w:pPr>
              <w:pStyle w:val="Normal"/>
              <w:tabs>
                <w:tab w:val="left" w:pos="2410" w:leader="none"/>
              </w:tabs>
              <w:spacing w:before="120" w:after="0"/>
              <w:rPr>
                <w:sz w:val="16"/>
              </w:rPr>
            </w:pPr>
            <w:r>
              <w:rPr>
                <w:sz w:val="16"/>
              </w:rPr>
              <w:t>BUDGETS ANNEXES</w:t>
            </w:r>
          </w:p>
        </w:tc>
        <w:tc>
          <w:tcPr>
            <w:tcW w:w="1559" w:type="dxa"/>
            <w:tcBorders>
              <w:top w:val="single" w:sz="4"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trHeight w:val="368" w:hRule="atLeast"/>
          <w:cantSplit w:val="true"/>
        </w:trPr>
        <w:tc>
          <w:tcPr>
            <w:tcW w:w="1134" w:type="dxa"/>
            <w:vMerge w:val="restart"/>
            <w:tcBorders>
              <w:top w:val="single" w:sz="6" w:space="0" w:color="000000"/>
              <w:left w:val="single" w:sz="18" w:space="0" w:color="000000"/>
            </w:tcBorders>
            <w:shd w:fill="auto" w:val="clear"/>
          </w:tcPr>
          <w:p>
            <w:pPr>
              <w:pStyle w:val="Normal"/>
              <w:tabs>
                <w:tab w:val="left" w:pos="2410" w:leader="none"/>
              </w:tabs>
              <w:jc w:val="center"/>
              <w:rPr>
                <w:sz w:val="18"/>
              </w:rPr>
            </w:pPr>
            <w:r>
              <w:rPr>
                <w:sz w:val="18"/>
              </w:rPr>
            </w:r>
          </w:p>
          <w:p>
            <w:pPr>
              <w:pStyle w:val="Normal"/>
              <w:tabs>
                <w:tab w:val="left" w:pos="2410" w:leader="none"/>
              </w:tabs>
              <w:jc w:val="center"/>
              <w:rPr>
                <w:sz w:val="18"/>
              </w:rPr>
            </w:pPr>
            <w:r>
              <w:rPr>
                <w:sz w:val="18"/>
              </w:rPr>
            </w:r>
          </w:p>
          <w:p>
            <w:pPr>
              <w:pStyle w:val="Normal"/>
              <w:tabs>
                <w:tab w:val="left" w:pos="2410" w:leader="none"/>
              </w:tabs>
              <w:jc w:val="center"/>
              <w:rPr>
                <w:sz w:val="18"/>
              </w:rPr>
            </w:pPr>
            <w:r>
              <w:rPr>
                <w:sz w:val="18"/>
              </w:rPr>
              <w:t xml:space="preserve">Comptes </w:t>
            </w:r>
          </w:p>
          <w:p>
            <w:pPr>
              <w:pStyle w:val="Normal"/>
              <w:tabs>
                <w:tab w:val="left" w:pos="2410" w:leader="none"/>
              </w:tabs>
              <w:spacing w:before="120" w:after="120"/>
              <w:jc w:val="center"/>
              <w:rPr>
                <w:sz w:val="18"/>
              </w:rPr>
            </w:pPr>
            <w:r>
              <w:rPr>
                <w:sz w:val="18"/>
              </w:rPr>
              <w:t xml:space="preserve">204 </w:t>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Normal"/>
              <w:tabs>
                <w:tab w:val="left" w:pos="2410" w:leader="none"/>
              </w:tabs>
              <w:spacing w:before="120" w:after="120"/>
              <w:rPr>
                <w:i/>
                <w:i/>
                <w:sz w:val="16"/>
              </w:rPr>
            </w:pPr>
            <w:r>
              <w:rPr>
                <w:sz w:val="16"/>
              </w:rPr>
              <w:t>1) FONDS DE CONCOURS SUR MONUMENTS CLASSÉS (versés par les collectivités territoriales et leurs groupements à l’Etat)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left" w:pos="2410" w:leader="none"/>
              </w:tabs>
              <w:spacing w:before="120" w:after="120"/>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tabs>
                <w:tab w:val="left" w:pos="2410" w:leader="none"/>
              </w:tabs>
              <w:spacing w:before="120" w:after="120"/>
              <w:rPr>
                <w:sz w:val="16"/>
              </w:rPr>
            </w:pPr>
            <w:r>
              <w:rPr>
                <w:sz w:val="16"/>
              </w:rPr>
              <w:t xml:space="preserve">2) </w:t>
            </w:r>
            <w:r>
              <w:rPr>
                <w:caps/>
                <w:sz w:val="16"/>
              </w:rPr>
              <w:t>FONDS DE CONCOURS versés à l’Etat ou à une autre collectivité territoriale ou A un autre EPCI pour DES TRAVaUX DE VOIRIE</w:t>
            </w:r>
            <w:r>
              <w:rPr>
                <w:sz w:val="16"/>
              </w:rPr>
              <w:t xml:space="preserve"> (alinéas 5 et 6 de l’article L. 1615-2 du CGCT) (annexe 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left" w:pos="2410" w:leader="none"/>
              </w:tabs>
              <w:spacing w:before="120" w:after="120"/>
              <w:rPr>
                <w:sz w:val="16"/>
              </w:rPr>
            </w:pPr>
            <w:r>
              <w:rPr>
                <w:sz w:val="16"/>
              </w:rPr>
              <w:t>3) SUBVENTIONS D'INVESTISSEMENT versées par le département ou la région aux établissements publics locaux d'enseignement</w:t>
            </w:r>
          </w:p>
        </w:tc>
        <w:tc>
          <w:tcPr>
            <w:tcW w:w="1559" w:type="dxa"/>
            <w:tcBorders>
              <w:left w:val="single" w:sz="6" w:space="0" w:color="000000"/>
              <w:right w:val="single" w:sz="18"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2410" w:leader="none"/>
              </w:tabs>
              <w:spacing w:before="120" w:after="120"/>
              <w:jc w:val="right"/>
              <w:rPr>
                <w:b/>
                <w:b/>
                <w:sz w:val="18"/>
              </w:rPr>
            </w:pPr>
            <w:r>
              <w:rPr>
                <w:b/>
                <w:sz w:val="18"/>
              </w:rPr>
              <w:t>TOTAL C</w:t>
            </w:r>
          </w:p>
        </w:tc>
        <w:tc>
          <w:tcPr>
            <w:tcW w:w="1559" w:type="dxa"/>
            <w:tcBorders>
              <w:top w:val="single" w:sz="12"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tcBorders>
              <w:top w:val="single" w:sz="18" w:space="0" w:color="000000"/>
              <w:left w:val="single" w:sz="18" w:space="0" w:color="000000"/>
            </w:tcBorders>
            <w:shd w:fill="auto" w:val="clear"/>
          </w:tcPr>
          <w:p>
            <w:pPr>
              <w:pStyle w:val="Normal"/>
              <w:tabs>
                <w:tab w:val="left" w:pos="2410" w:leader="none"/>
              </w:tabs>
              <w:spacing w:before="120" w:after="120"/>
              <w:jc w:val="center"/>
              <w:rPr>
                <w:b/>
                <w:b/>
                <w:sz w:val="18"/>
              </w:rPr>
            </w:pPr>
            <w:r>
              <w:rPr>
                <w:b/>
                <w:sz w:val="18"/>
              </w:rPr>
              <w:t>D</w:t>
            </w:r>
          </w:p>
        </w:tc>
        <w:tc>
          <w:tcPr>
            <w:tcW w:w="7230" w:type="dxa"/>
            <w:gridSpan w:val="4"/>
            <w:tcBorders>
              <w:top w:val="single" w:sz="18" w:space="0" w:color="000000"/>
              <w:left w:val="single" w:sz="6" w:space="0" w:color="000000"/>
            </w:tcBorders>
            <w:shd w:fill="auto" w:val="clear"/>
          </w:tcPr>
          <w:p>
            <w:pPr>
              <w:pStyle w:val="Normal"/>
              <w:tabs>
                <w:tab w:val="left" w:pos="2410" w:leader="none"/>
              </w:tabs>
              <w:spacing w:before="120" w:after="120"/>
              <w:rPr>
                <w:sz w:val="16"/>
              </w:rPr>
            </w:pPr>
            <w:r>
              <w:rPr>
                <w:sz w:val="16"/>
              </w:rPr>
              <w:t>4/ TRAVAUX CONNEXES AU REMEMBREMENT (déduction faite, le cas échéant, de la participation financière d'un tiers non éligible)</w:t>
            </w:r>
          </w:p>
        </w:tc>
        <w:tc>
          <w:tcPr>
            <w:tcW w:w="1559" w:type="dxa"/>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trHeight w:val="908" w:hRule="atLeast"/>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Entte"/>
              <w:tabs>
                <w:tab w:val="left" w:pos="2410" w:leader="none"/>
              </w:tabs>
              <w:spacing w:before="120" w:after="0"/>
              <w:rPr>
                <w:rFonts w:ascii="Arial" w:hAnsi="Arial"/>
                <w:sz w:val="16"/>
              </w:rPr>
            </w:pPr>
            <w:r>
              <w:rPr>
                <w:rFonts w:ascii="Arial" w:hAnsi="Arial"/>
                <w:sz w:val="16"/>
              </w:rPr>
              <w:t>5/ TRAVAUX D'INTÉRÊT GÉNÉRAL OU D'URGENCE  réalisés sur le patrimoine de tiers et relatifs à la lutte contre les avalanches, les glissements de terrains, les inondations, les incendies, la défense contre la mer, travaux pour la prévention des incendies de forêt (alinéa 4 de l’article L. 1615-2 du CGCT)</w:t>
            </w:r>
          </w:p>
        </w:tc>
        <w:tc>
          <w:tcPr>
            <w:tcW w:w="1559" w:type="dxa"/>
            <w:tcBorders>
              <w:left w:val="single" w:sz="6" w:space="0" w:color="000000"/>
              <w:right w:val="single" w:sz="18"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spacing w:before="120" w:after="120"/>
              <w:ind w:left="-58" w:right="-52" w:hanging="0"/>
              <w:rPr>
                <w:i/>
                <w:i/>
                <w:sz w:val="16"/>
              </w:rPr>
            </w:pPr>
            <w:r>
              <w:rPr>
                <w:sz w:val="16"/>
              </w:rPr>
              <w:t xml:space="preserve"> </w:t>
            </w:r>
            <w:r>
              <w:rPr>
                <w:sz w:val="16"/>
              </w:rPr>
              <w:t>6°/ TRAVAUX D’INVESTISSEMENT SUR LES BIENS RELEVANT DU CONSERVATOIRE DE  L’ESPACE LITTORAL ET DES RIVAGES LACUSTRES (joindre la convention visée par l’article 65  de la LFR pour 2004)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left" w:pos="2410" w:leader="none"/>
              </w:tabs>
              <w:spacing w:before="120" w:after="120"/>
              <w:rPr>
                <w:sz w:val="16"/>
              </w:rPr>
            </w:pPr>
            <w:r>
              <w:rPr>
                <w:sz w:val="16"/>
              </w:rPr>
              <w:t>7/ TRAVAUX SUR LE PATRIMOINE DES SECTIONS DE COMMUNES au titre d'opérations de réhabilitation du patrimoine (Article 62 de la loi de finances pour 1999)</w:t>
            </w:r>
          </w:p>
        </w:tc>
        <w:tc>
          <w:tcPr>
            <w:tcW w:w="1559" w:type="dxa"/>
            <w:tcBorders>
              <w:left w:val="single" w:sz="6" w:space="0" w:color="000000"/>
              <w:right w:val="single" w:sz="18"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left" w:pos="71" w:leader="none"/>
                <w:tab w:val="left" w:pos="497" w:leader="none"/>
                <w:tab w:val="left" w:pos="2410" w:leader="none"/>
                <w:tab w:val="left" w:pos="3615" w:leader="none"/>
              </w:tabs>
              <w:spacing w:before="120" w:after="120"/>
              <w:rPr>
                <w:rFonts w:ascii="Arial" w:hAnsi="Arial"/>
                <w:sz w:val="16"/>
              </w:rPr>
            </w:pPr>
            <w:r>
              <w:rPr>
                <w:rFonts w:ascii="Arial" w:hAnsi="Arial"/>
                <w:sz w:val="16"/>
              </w:rPr>
              <w:t>8/ INDEMNITES VERSEES A LA SUITE DE L’ANNULATION D’UN MARCHE par décision du juge administratif (article L. 1615-1 du CGCT) Compte 678 (voir annexe 2)</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left" w:pos="2410" w:leader="none"/>
                <w:tab w:val="left" w:pos="3615" w:leader="none"/>
              </w:tabs>
              <w:spacing w:before="120" w:after="120"/>
              <w:rPr>
                <w:rFonts w:ascii="Arial" w:hAnsi="Arial"/>
                <w:sz w:val="16"/>
              </w:rPr>
            </w:pPr>
            <w:r>
              <w:rPr>
                <w:rFonts w:ascii="Arial" w:hAnsi="Arial"/>
                <w:sz w:val="16"/>
              </w:rPr>
              <w:t>9/ TRAVAUX REALISES SUR LE DOMAINE PUBLIC ROUTIER DE L’ETAT OU D’UNE AUTRE COLLECTIVITE (voir annexe 3) (article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left" w:pos="2410" w:leader="none"/>
                <w:tab w:val="left" w:pos="3615" w:leader="none"/>
              </w:tabs>
              <w:spacing w:before="120" w:after="120"/>
              <w:rPr>
                <w:rFonts w:ascii="Arial" w:hAnsi="Arial"/>
                <w:sz w:val="16"/>
              </w:rPr>
            </w:pPr>
            <w:r>
              <w:rPr>
                <w:rFonts w:ascii="Arial" w:hAnsi="Arial"/>
                <w:sz w:val="16"/>
              </w:rPr>
              <w:t>10/ FRAIS D’ETUDES REALISEES PAR UNE COLLECTIVITE TERRITORIALE OU UN EPCI AUTRE QUE CELUI QUI REALISE LES TRAVAUX (art L. 1615-7 CGCT)    (voir annexe 5)</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left" w:pos="2410" w:leader="none"/>
                <w:tab w:val="left" w:pos="3615" w:leader="none"/>
              </w:tabs>
              <w:spacing w:before="120" w:after="120"/>
              <w:rPr>
                <w:rFonts w:ascii="Arial" w:hAnsi="Arial"/>
                <w:sz w:val="16"/>
              </w:rPr>
            </w:pPr>
            <w:r>
              <w:rPr>
                <w:rFonts w:ascii="Arial" w:hAnsi="Arial"/>
                <w:sz w:val="16"/>
              </w:rPr>
              <w:t>11/ TRAVAUX REALISES SUR LE DOMAINE PUBLIC FLUVIAL dans le cadre de  l’expérimentation prévue au  L. 3113-2 du CGPPP (voir annexe 6) (art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left" w:pos="2410" w:leader="none"/>
              </w:tabs>
              <w:spacing w:before="120" w:after="120"/>
              <w:jc w:val="right"/>
              <w:rPr>
                <w:b/>
                <w:b/>
                <w:sz w:val="18"/>
              </w:rPr>
            </w:pPr>
            <w:r>
              <w:rPr>
                <w:b/>
                <w:sz w:val="18"/>
              </w:rPr>
              <w:t>TOTAL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r>
        <w:trPr>
          <w:trHeight w:val="289" w:hRule="atLeast"/>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left" w:pos="2410" w:leader="none"/>
              </w:tabs>
              <w:spacing w:before="120" w:after="120"/>
              <w:jc w:val="right"/>
              <w:rPr>
                <w:b/>
                <w:b/>
                <w:sz w:val="18"/>
              </w:rPr>
            </w:pPr>
            <w:r>
              <w:rPr>
                <w:b/>
                <w:sz w:val="18"/>
              </w:rPr>
              <w:t>TOTAL  C +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r>
        <w:trPr>
          <w:trHeight w:val="367" w:hRule="atLeast"/>
          <w:cantSplit w:val="true"/>
        </w:trPr>
        <w:tc>
          <w:tcPr>
            <w:tcW w:w="1140" w:type="dxa"/>
            <w:gridSpan w:val="2"/>
            <w:vMerge w:val="restart"/>
            <w:tcBorders>
              <w:left w:val="single" w:sz="18" w:space="0" w:color="000000"/>
              <w:right w:val="single" w:sz="8" w:space="0" w:color="000000"/>
              <w:insideV w:val="single" w:sz="8" w:space="0" w:color="000000"/>
            </w:tcBorders>
            <w:shd w:fill="auto" w:val="clear"/>
          </w:tcPr>
          <w:p>
            <w:pPr>
              <w:pStyle w:val="Normal"/>
              <w:tabs>
                <w:tab w:val="left" w:pos="2410" w:leader="none"/>
              </w:tabs>
              <w:spacing w:before="120" w:after="120"/>
              <w:jc w:val="center"/>
              <w:rPr>
                <w:b/>
                <w:b/>
                <w:sz w:val="18"/>
              </w:rPr>
            </w:pPr>
            <w:r>
              <w:rPr>
                <w:b/>
                <w:sz w:val="18"/>
              </w:rPr>
              <w:t>E</w:t>
            </w:r>
          </w:p>
        </w:tc>
        <w:tc>
          <w:tcPr>
            <w:tcW w:w="7224" w:type="dxa"/>
            <w:gridSpan w:val="3"/>
            <w:vMerge w:val="restart"/>
            <w:tcBorders>
              <w:top w:val="dotted" w:sz="4" w:space="0" w:color="000000"/>
              <w:left w:val="single" w:sz="8" w:space="0" w:color="000000"/>
              <w:right w:val="single" w:sz="8" w:space="0" w:color="000000"/>
              <w:insideV w:val="single" w:sz="8" w:space="0" w:color="000000"/>
            </w:tcBorders>
            <w:shd w:fill="auto" w:val="clear"/>
          </w:tcPr>
          <w:p>
            <w:pPr>
              <w:pStyle w:val="Normal"/>
              <w:tabs>
                <w:tab w:val="left" w:pos="4319" w:leader="none"/>
              </w:tabs>
              <w:spacing w:before="120" w:after="120"/>
              <w:ind w:right="-2337" w:hanging="0"/>
              <w:rPr>
                <w:sz w:val="16"/>
              </w:rPr>
            </w:pPr>
            <w:r>
              <w:rPr>
                <w:sz w:val="16"/>
              </w:rPr>
              <w:t>DEPENSES D’INVESTISSEMENT A DEDUIRE</w:t>
            </w:r>
          </w:p>
          <w:p>
            <w:pPr>
              <w:pStyle w:val="Normal"/>
              <w:tabs>
                <w:tab w:val="left" w:pos="2410" w:leader="none"/>
              </w:tabs>
              <w:spacing w:before="120" w:after="120"/>
              <w:jc w:val="right"/>
              <w:rPr/>
            </w:pPr>
            <w:r>
              <w:rPr/>
            </w:r>
          </w:p>
          <w:p>
            <w:pPr>
              <w:pStyle w:val="ListParagraph"/>
              <w:numPr>
                <w:ilvl w:val="0"/>
                <w:numId w:val="3"/>
              </w:numPr>
              <w:tabs>
                <w:tab w:val="left" w:pos="2410" w:leader="none"/>
              </w:tabs>
              <w:spacing w:before="120" w:after="120"/>
              <w:contextualSpacing/>
              <w:rPr>
                <w:rFonts w:ascii="Arial" w:hAnsi="Arial" w:cs="Arial"/>
                <w:b/>
                <w:b/>
                <w:i/>
                <w:i/>
                <w:sz w:val="18"/>
                <w:szCs w:val="18"/>
              </w:rPr>
            </w:pPr>
            <w:r>
              <w:rPr>
                <w:rFonts w:cs="Arial" w:ascii="Arial" w:hAnsi="Arial"/>
                <w:b/>
                <w:i/>
                <w:sz w:val="18"/>
                <w:szCs w:val="18"/>
              </w:rPr>
              <w:t>Etat n° 2-B</w:t>
            </w:r>
          </w:p>
          <w:p>
            <w:pPr>
              <w:pStyle w:val="ListParagraph"/>
              <w:numPr>
                <w:ilvl w:val="0"/>
                <w:numId w:val="3"/>
              </w:numPr>
              <w:tabs>
                <w:tab w:val="left" w:pos="2410" w:leader="none"/>
              </w:tabs>
              <w:spacing w:before="120" w:after="120"/>
              <w:contextualSpacing/>
              <w:rPr>
                <w:rFonts w:ascii="Arial" w:hAnsi="Arial" w:cs="Arial"/>
                <w:sz w:val="18"/>
                <w:szCs w:val="18"/>
              </w:rPr>
            </w:pPr>
            <w:r>
              <w:rPr>
                <w:rFonts w:cs="Arial" w:ascii="Arial" w:hAnsi="Arial"/>
                <w:b/>
                <w:i/>
                <w:sz w:val="18"/>
                <w:szCs w:val="18"/>
              </w:rPr>
              <w:t>Etat n° 3 :</w:t>
            </w:r>
            <w:r>
              <w:rPr>
                <w:rFonts w:cs="Arial" w:ascii="Arial" w:hAnsi="Arial"/>
                <w:sz w:val="18"/>
                <w:szCs w:val="18"/>
              </w:rPr>
              <w:t xml:space="preserve"> subventions d’investissement TTC de l’Etat</w:t>
            </w:r>
          </w:p>
        </w:tc>
        <w:tc>
          <w:tcPr>
            <w:tcW w:w="1559" w:type="dxa"/>
            <w:tcBorders>
              <w:left w:val="single" w:sz="8" w:space="0" w:color="000000"/>
              <w:right w:val="single" w:sz="18" w:space="0" w:color="000000"/>
              <w:insideV w:val="single" w:sz="18" w:space="0" w:color="000000"/>
            </w:tcBorders>
            <w:shd w:fill="auto" w:val="clear"/>
          </w:tcPr>
          <w:p>
            <w:pPr>
              <w:pStyle w:val="Normal"/>
              <w:tabs>
                <w:tab w:val="left" w:pos="2410" w:leader="none"/>
              </w:tabs>
              <w:rPr>
                <w:sz w:val="18"/>
              </w:rPr>
            </w:pPr>
            <w:r>
              <w:rPr>
                <w:sz w:val="18"/>
              </w:rPr>
            </w:r>
          </w:p>
        </w:tc>
      </w:tr>
      <w:tr>
        <w:trPr>
          <w:trHeight w:val="321" w:hRule="atLeast"/>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left" w:pos="2410" w:leader="none"/>
              </w:tabs>
              <w:jc w:val="center"/>
              <w:rPr>
                <w:sz w:val="18"/>
              </w:rPr>
            </w:pPr>
            <w:r>
              <w:rPr>
                <w:sz w:val="18"/>
              </w:rPr>
            </w:r>
          </w:p>
        </w:tc>
        <w:tc>
          <w:tcPr>
            <w:tcW w:w="7224" w:type="dxa"/>
            <w:gridSpan w:val="3"/>
            <w:vMerge w:val="continue"/>
            <w:tcBorders>
              <w:left w:val="single" w:sz="8" w:space="0" w:color="000000"/>
              <w:right w:val="single" w:sz="8" w:space="0" w:color="000000"/>
              <w:insideV w:val="single" w:sz="8" w:space="0" w:color="000000"/>
            </w:tcBorders>
            <w:shd w:fill="auto" w:val="clear"/>
          </w:tcPr>
          <w:p>
            <w:pPr>
              <w:pStyle w:val="Normal"/>
              <w:tabs>
                <w:tab w:val="left" w:pos="2410" w:leader="none"/>
              </w:tabs>
              <w:spacing w:before="120" w:after="120"/>
              <w:rPr>
                <w:sz w:val="16"/>
              </w:rPr>
            </w:pPr>
            <w:r>
              <w:rPr>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left" w:pos="2410" w:leader="none"/>
              </w:tabs>
              <w:jc w:val="center"/>
              <w:rPr>
                <w:sz w:val="18"/>
              </w:rPr>
            </w:pPr>
            <w:r>
              <w:rPr>
                <w:sz w:val="18"/>
              </w:rPr>
            </w:r>
          </w:p>
        </w:tc>
        <w:tc>
          <w:tcPr>
            <w:tcW w:w="7224" w:type="dxa"/>
            <w:gridSpan w:val="3"/>
            <w:tcBorders>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ListParagraph"/>
              <w:numPr>
                <w:ilvl w:val="0"/>
                <w:numId w:val="3"/>
              </w:numPr>
              <w:tabs>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d’investissement liées aux intempéries ayant déjà fait l’objet d’une attribution du FCTVA (décret intempérie exceptionnelle)</w:t>
            </w:r>
          </w:p>
          <w:p>
            <w:pPr>
              <w:pStyle w:val="Normal"/>
              <w:tabs>
                <w:tab w:val="left" w:pos="2410" w:leader="none"/>
              </w:tabs>
              <w:jc w:val="both"/>
              <w:rPr>
                <w:b/>
                <w:b/>
                <w:i/>
                <w:i/>
                <w:sz w:val="16"/>
              </w:rPr>
            </w:pPr>
            <w:r>
              <w:rPr>
                <w:b/>
                <w:i/>
                <w:sz w:val="16"/>
              </w:rPr>
            </w:r>
          </w:p>
          <w:p>
            <w:pPr>
              <w:pStyle w:val="Normal"/>
              <w:tabs>
                <w:tab w:val="left" w:pos="2410" w:leader="none"/>
              </w:tabs>
              <w:jc w:val="both"/>
              <w:rPr>
                <w:b/>
                <w:b/>
                <w:i/>
                <w:i/>
                <w:sz w:val="16"/>
              </w:rPr>
            </w:pPr>
            <w:r>
              <w:rPr>
                <w:b/>
                <w:i/>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1140" w:type="dxa"/>
            <w:gridSpan w:val="2"/>
            <w:tcBorders>
              <w:top w:val="single" w:sz="18" w:space="0" w:color="000000"/>
              <w:left w:val="single" w:sz="18" w:space="0" w:color="000000"/>
              <w:bottom w:val="single" w:sz="4" w:space="0" w:color="000000"/>
              <w:insideH w:val="single" w:sz="4" w:space="0" w:color="000000"/>
            </w:tcBorders>
            <w:shd w:fill="auto" w:val="clear"/>
          </w:tcPr>
          <w:p>
            <w:pPr>
              <w:pStyle w:val="Normal"/>
              <w:tabs>
                <w:tab w:val="left" w:pos="2410" w:leader="none"/>
              </w:tabs>
              <w:rPr>
                <w:sz w:val="18"/>
              </w:rPr>
            </w:pPr>
            <w:r>
              <w:rPr>
                <w:sz w:val="18"/>
              </w:rPr>
            </w:r>
          </w:p>
        </w:tc>
        <w:tc>
          <w:tcPr>
            <w:tcW w:w="7224" w:type="dxa"/>
            <w:gridSpan w:val="3"/>
            <w:tcBorders>
              <w:top w:val="single" w:sz="18" w:space="0" w:color="000000"/>
              <w:bottom w:val="single" w:sz="4" w:space="0" w:color="000000"/>
              <w:insideH w:val="single" w:sz="4" w:space="0" w:color="000000"/>
            </w:tcBorders>
            <w:shd w:fill="auto" w:val="clear"/>
          </w:tcPr>
          <w:p>
            <w:pPr>
              <w:pStyle w:val="Normal"/>
              <w:tabs>
                <w:tab w:val="left" w:pos="2410" w:leader="none"/>
              </w:tabs>
              <w:spacing w:before="120" w:after="120"/>
              <w:jc w:val="right"/>
              <w:rPr>
                <w:b/>
                <w:b/>
                <w:sz w:val="18"/>
              </w:rPr>
            </w:pPr>
            <w:r>
              <w:rPr>
                <w:b/>
                <w:sz w:val="18"/>
              </w:rPr>
              <w:t>TOTAL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insideH w:val="single" w:sz="18" w:space="0" w:color="000000"/>
            </w:tcBorders>
            <w:shd w:color="auto" w:fill="FFFFFF" w:themeFill="background1" w:val="clear"/>
          </w:tcPr>
          <w:p>
            <w:pPr>
              <w:pStyle w:val="Normal"/>
              <w:tabs>
                <w:tab w:val="left" w:pos="2410" w:leader="none"/>
              </w:tabs>
              <w:spacing w:before="120" w:after="120"/>
              <w:rPr>
                <w:b/>
                <w:b/>
                <w:sz w:val="18"/>
              </w:rPr>
            </w:pPr>
            <w:r>
              <w:rPr>
                <w:b/>
                <w:sz w:val="18"/>
              </w:rPr>
              <w:t>2- TOTAL DES DEPENSES D’INVESTISSEMENT ELIGIBLES</w:t>
            </w:r>
          </w:p>
        </w:tc>
        <w:tc>
          <w:tcPr>
            <w:tcW w:w="4002" w:type="dxa"/>
            <w:tcBorders>
              <w:top w:val="single" w:sz="18" w:space="0" w:color="000000"/>
              <w:bottom w:val="single" w:sz="18" w:space="0" w:color="000000"/>
              <w:insideH w:val="single" w:sz="18" w:space="0" w:color="000000"/>
            </w:tcBorders>
            <w:shd w:color="auto" w:fill="FFFFFF" w:themeFill="background1" w:val="clear"/>
          </w:tcPr>
          <w:p>
            <w:pPr>
              <w:pStyle w:val="Normal"/>
              <w:tabs>
                <w:tab w:val="left" w:pos="2410" w:leader="none"/>
              </w:tabs>
              <w:spacing w:before="120" w:after="120"/>
              <w:jc w:val="right"/>
              <w:rPr>
                <w:b/>
                <w:b/>
                <w:sz w:val="18"/>
              </w:rPr>
            </w:pPr>
            <w:r>
              <w:rPr>
                <w:b/>
                <w:sz w:val="18"/>
              </w:rPr>
              <w:t>TOTAL (C + D -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left" w:pos="2410" w:leader="none"/>
              </w:tabs>
              <w:rPr>
                <w:sz w:val="18"/>
              </w:rPr>
            </w:pPr>
            <w:r>
              <w:rPr>
                <w:sz w:val="18"/>
              </w:rPr>
            </w:r>
          </w:p>
        </w:tc>
      </w:tr>
      <w:tr>
        <w:trPr>
          <w:cantSplit w:val="true"/>
        </w:trPr>
        <w:tc>
          <w:tcPr>
            <w:tcW w:w="4362" w:type="dxa"/>
            <w:gridSpan w:val="4"/>
            <w:tcBorders>
              <w:top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spacing w:before="120" w:after="120"/>
              <w:rPr>
                <w:b/>
                <w:b/>
                <w:sz w:val="20"/>
                <w:szCs w:val="20"/>
              </w:rPr>
            </w:pPr>
            <w:r>
              <w:rPr>
                <w:b/>
                <w:sz w:val="20"/>
                <w:szCs w:val="20"/>
              </w:rPr>
            </w:r>
          </w:p>
        </w:tc>
        <w:tc>
          <w:tcPr>
            <w:tcW w:w="4002" w:type="dxa"/>
            <w:tcBorders>
              <w:top w:val="single" w:sz="18" w:space="0" w:color="000000"/>
              <w:left w:val="single" w:sz="4" w:space="0" w:color="FFFFFF"/>
              <w:bottom w:val="single" w:sz="18" w:space="0" w:color="000000"/>
              <w:insideH w:val="single" w:sz="18" w:space="0" w:color="000000"/>
            </w:tcBorders>
            <w:shd w:fill="auto" w:val="clear"/>
          </w:tcPr>
          <w:p>
            <w:pPr>
              <w:pStyle w:val="Normal"/>
              <w:tabs>
                <w:tab w:val="left" w:pos="2410" w:leader="none"/>
              </w:tabs>
              <w:spacing w:before="120" w:after="120"/>
              <w:jc w:val="right"/>
              <w:rPr>
                <w:b/>
                <w:b/>
                <w:sz w:val="18"/>
              </w:rPr>
            </w:pPr>
            <w:r>
              <w:rPr>
                <w:b/>
                <w:sz w:val="18"/>
              </w:rPr>
            </w:r>
          </w:p>
        </w:tc>
        <w:tc>
          <w:tcPr>
            <w:tcW w:w="1559" w:type="dxa"/>
            <w:tcBorders>
              <w:top w:val="single" w:sz="18" w:space="0" w:color="000000"/>
              <w:bottom w:val="single" w:sz="18" w:space="0" w:color="000000"/>
              <w:insideH w:val="single" w:sz="18" w:space="0" w:color="000000"/>
            </w:tcBorders>
            <w:shd w:fill="auto" w:val="clear"/>
          </w:tcPr>
          <w:p>
            <w:pPr>
              <w:pStyle w:val="Normal"/>
              <w:tabs>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left" w:pos="2410" w:leader="none"/>
              </w:tabs>
              <w:spacing w:before="120" w:after="120"/>
              <w:rPr>
                <w:b/>
                <w:b/>
                <w:sz w:val="20"/>
                <w:szCs w:val="20"/>
              </w:rPr>
            </w:pPr>
            <w:r>
              <w:rPr>
                <w:b/>
                <w:sz w:val="20"/>
                <w:szCs w:val="20"/>
              </w:rPr>
              <w:t>3- TOTAL DES DEPENSES ELIGIBLES</w:t>
            </w:r>
          </w:p>
        </w:tc>
        <w:tc>
          <w:tcPr>
            <w:tcW w:w="4002" w:type="dxa"/>
            <w:tcBorders>
              <w:top w:val="single" w:sz="18" w:space="0" w:color="000000"/>
              <w:left w:val="single" w:sz="4" w:space="0" w:color="FFFFFF"/>
              <w:bottom w:val="single" w:sz="18" w:space="0" w:color="000000"/>
              <w:right w:val="single" w:sz="4" w:space="0" w:color="000000"/>
              <w:insideH w:val="single" w:sz="18" w:space="0" w:color="000000"/>
              <w:insideV w:val="single" w:sz="4" w:space="0" w:color="000000"/>
            </w:tcBorders>
            <w:shd w:fill="auto" w:val="clear"/>
          </w:tcPr>
          <w:p>
            <w:pPr>
              <w:pStyle w:val="Normal"/>
              <w:tabs>
                <w:tab w:val="left" w:pos="2410" w:leader="none"/>
              </w:tabs>
              <w:spacing w:before="120" w:after="120"/>
              <w:jc w:val="right"/>
              <w:rPr>
                <w:b/>
                <w:b/>
                <w:sz w:val="18"/>
              </w:rPr>
            </w:pPr>
            <w:r>
              <w:rPr>
                <w:b/>
                <w:sz w:val="18"/>
              </w:rPr>
              <w:t>TOTAL (1+2)</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left" w:pos="2410" w:leader="none"/>
              </w:tabs>
              <w:rPr>
                <w:sz w:val="18"/>
              </w:rPr>
            </w:pPr>
            <w:r>
              <w:rPr>
                <w:sz w:val="18"/>
              </w:rPr>
            </w:r>
          </w:p>
        </w:tc>
      </w:tr>
    </w:tbl>
    <w:p>
      <w:pPr>
        <w:pStyle w:val="Entte"/>
        <w:tabs>
          <w:tab w:val="left" w:pos="5954" w:leader="none"/>
        </w:tabs>
        <w:rPr>
          <w:rFonts w:ascii="Arial" w:hAnsi="Arial"/>
          <w:sz w:val="18"/>
        </w:rPr>
      </w:pPr>
      <w:r>
        <w:rPr>
          <w:rFonts w:ascii="Arial" w:hAnsi="Arial"/>
          <w:sz w:val="18"/>
        </w:rPr>
      </w:r>
    </w:p>
    <w:p>
      <w:pPr>
        <w:pStyle w:val="Entte"/>
        <w:tabs>
          <w:tab w:val="left" w:pos="5954" w:leader="none"/>
        </w:tabs>
        <w:rPr>
          <w:rFonts w:ascii="Arial" w:hAnsi="Arial"/>
          <w:sz w:val="18"/>
        </w:rPr>
      </w:pPr>
      <w:r>
        <w:rPr>
          <w:rFonts w:ascii="Arial" w:hAnsi="Arial"/>
          <w:sz w:val="18"/>
        </w:rPr>
      </w:r>
    </w:p>
    <w:p>
      <w:pPr>
        <w:pStyle w:val="Entte"/>
        <w:tabs>
          <w:tab w:val="left" w:pos="5954" w:leader="none"/>
        </w:tabs>
        <w:rPr>
          <w:rFonts w:ascii="Arial" w:hAnsi="Arial"/>
          <w:sz w:val="18"/>
        </w:rPr>
      </w:pPr>
      <w:r>
        <w:rPr>
          <w:rFonts w:ascii="Arial" w:hAnsi="Arial"/>
          <w:sz w:val="18"/>
        </w:rPr>
      </w:r>
    </w:p>
    <w:p>
      <w:pPr>
        <w:pStyle w:val="Entte"/>
        <w:tabs>
          <w:tab w:val="left" w:pos="5954" w:leader="none"/>
        </w:tabs>
        <w:rPr>
          <w:rFonts w:ascii="Arial" w:hAnsi="Arial"/>
          <w:sz w:val="18"/>
        </w:rPr>
      </w:pPr>
      <w:r>
        <w:rPr>
          <w:rFonts w:ascii="Arial" w:hAnsi="Arial"/>
          <w:sz w:val="18"/>
        </w:rPr>
      </w:r>
    </w:p>
    <w:p>
      <w:pPr>
        <w:pStyle w:val="Entte"/>
        <w:tabs>
          <w:tab w:val="left" w:pos="5954" w:leader="none"/>
        </w:tabs>
        <w:rPr>
          <w:rFonts w:ascii="Arial" w:hAnsi="Arial"/>
          <w:sz w:val="18"/>
        </w:rPr>
      </w:pPr>
      <w:r>
        <w:rPr>
          <w:rFonts w:ascii="Arial" w:hAnsi="Arial"/>
          <w:sz w:val="18"/>
        </w:rPr>
        <w:t xml:space="preserve">Cachet de la collectivité </w:t>
        <w:tab/>
        <w:t>Certifié exact</w:t>
      </w:r>
    </w:p>
    <w:p>
      <w:pPr>
        <w:sectPr>
          <w:footerReference w:type="default" r:id="rId2"/>
          <w:type w:val="nextPage"/>
          <w:pgSz w:w="11906" w:h="16838"/>
          <w:pgMar w:left="1134" w:right="1134" w:header="0" w:top="1418" w:footer="284" w:bottom="1418" w:gutter="0"/>
          <w:pgNumType w:fmt="decimal"/>
          <w:formProt w:val="false"/>
          <w:textDirection w:val="lrTb"/>
          <w:docGrid w:type="default" w:linePitch="100" w:charSpace="4096"/>
        </w:sectPr>
        <w:pStyle w:val="Entte"/>
        <w:tabs>
          <w:tab w:val="left" w:pos="5954" w:leader="none"/>
        </w:tabs>
        <w:ind w:left="5954" w:right="-375" w:hanging="0"/>
        <w:rPr>
          <w:rFonts w:ascii="Arial" w:hAnsi="Arial"/>
          <w:sz w:val="18"/>
        </w:rPr>
      </w:pPr>
      <w:r>
        <w:rPr>
          <w:rFonts w:ascii="Arial" w:hAnsi="Arial"/>
          <w:sz w:val="18"/>
        </w:rPr>
        <w:t xml:space="preserve">Fait à                      , le                                   Le maire ou le président,                      </w:t>
      </w:r>
    </w:p>
    <w:p>
      <w:pPr>
        <w:pStyle w:val="Normal"/>
        <w:tabs>
          <w:tab w:val="left" w:pos="0" w:leader="none"/>
          <w:tab w:val="left" w:pos="142" w:leader="none"/>
        </w:tabs>
        <w:jc w:val="center"/>
        <w:rPr/>
      </w:pPr>
      <w:r>
        <w:rPr/>
      </w:r>
      <w:bookmarkStart w:id="0" w:name="_Hlt155149815"/>
      <w:bookmarkStart w:id="1" w:name="_Hlt155149815"/>
    </w:p>
    <w:p>
      <w:pPr>
        <w:pStyle w:val="PlainText"/>
        <w:jc w:val="center"/>
        <w:rPr>
          <w:rFonts w:ascii="Arial" w:hAnsi="Arial"/>
          <w:b/>
          <w:b/>
          <w:i/>
          <w:i/>
          <w:sz w:val="22"/>
          <w:u w:val="single"/>
        </w:rPr>
      </w:pPr>
      <w:bookmarkStart w:id="2" w:name="_Hlt155149815"/>
      <w:bookmarkStart w:id="3" w:name="_Toc177441610"/>
      <w:bookmarkStart w:id="4" w:name="_Toc155610633"/>
      <w:bookmarkStart w:id="5" w:name="_Toc155523891"/>
      <w:bookmarkStart w:id="6" w:name="_Toc155149766"/>
      <w:r>
        <w:rPr>
          <w:rFonts w:ascii="Arial" w:hAnsi="Arial"/>
          <w:b/>
          <w:i/>
          <w:sz w:val="22"/>
          <w:u w:val="single"/>
        </w:rPr>
        <w:t>ETAT N°1</w:t>
      </w:r>
      <w:bookmarkEnd w:id="2"/>
      <w:bookmarkEnd w:id="3"/>
      <w:bookmarkEnd w:id="4"/>
      <w:bookmarkEnd w:id="5"/>
      <w:bookmarkEnd w:id="6"/>
      <w:r>
        <w:rPr>
          <w:rFonts w:ascii="Arial" w:hAnsi="Arial"/>
          <w:b/>
          <w:sz w:val="22"/>
          <w:u w:val="single"/>
        </w:rPr>
        <w:t>–A</w:t>
      </w:r>
      <w:r>
        <w:rPr>
          <w:rFonts w:ascii="Arial" w:hAnsi="Arial"/>
          <w:b/>
          <w:sz w:val="22"/>
        </w:rPr>
        <w:t xml:space="preserve">  ANNEE </w:t>
      </w:r>
    </w:p>
    <w:p>
      <w:pPr>
        <w:pStyle w:val="Normal"/>
        <w:jc w:val="center"/>
        <w:rPr/>
      </w:pPr>
      <w:r>
        <w:rPr/>
        <w:t>Dépenses d’entretien des bâtiments publics et d</w:t>
      </w:r>
      <w:r>
        <w:rPr/>
        <w:t>e la voirie payées à compter du 1</w:t>
      </w:r>
      <w:r>
        <w:rPr>
          <w:vertAlign w:val="superscript"/>
        </w:rPr>
        <w:t>er</w:t>
      </w:r>
      <w:r>
        <w:rPr/>
        <w:t xml:space="preserve"> janvier 2016 – dépenses d’entretien des réseaux payées à compter du 1</w:t>
      </w:r>
      <w:r>
        <w:rPr>
          <w:vertAlign w:val="superscript"/>
        </w:rPr>
        <w:t>er</w:t>
      </w:r>
      <w:r>
        <w:rPr/>
        <w:t xml:space="preserve"> janvier 2020</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63"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A)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left" w:pos="6237" w:leader="none"/>
          <w:tab w:val="left" w:pos="9498" w:leader="none"/>
        </w:tabs>
        <w:rPr/>
      </w:pPr>
      <w:r>
        <w:rPr/>
        <w:tab/>
      </w:r>
    </w:p>
    <w:p>
      <w:pPr>
        <w:pStyle w:val="Normal"/>
        <w:tabs>
          <w:tab w:val="left" w:pos="6237" w:leader="none"/>
          <w:tab w:val="left" w:pos="9498" w:leader="none"/>
        </w:tabs>
        <w:rPr>
          <w:sz w:val="20"/>
        </w:rPr>
      </w:pPr>
      <w:r>
        <w:rPr>
          <w:sz w:val="20"/>
        </w:rPr>
        <w:tab/>
        <w:t>Fait à</w:t>
        <w:tab/>
        <w:t>, le</w:t>
      </w:r>
    </w:p>
    <w:p>
      <w:pPr>
        <w:pStyle w:val="Normal"/>
        <w:tabs>
          <w:tab w:val="left" w:pos="6237" w:leader="none"/>
          <w:tab w:val="left" w:pos="9498" w:leader="none"/>
        </w:tabs>
        <w:rPr>
          <w:sz w:val="20"/>
        </w:rPr>
      </w:pPr>
      <w:r>
        <w:rPr>
          <w:sz w:val="20"/>
        </w:rPr>
      </w:r>
    </w:p>
    <w:p>
      <w:pPr>
        <w:pStyle w:val="Normal"/>
        <w:tabs>
          <w:tab w:val="left" w:pos="6237" w:leader="none"/>
          <w:tab w:val="left" w:pos="9498" w:leader="none"/>
        </w:tabs>
        <w:rPr>
          <w:sz w:val="20"/>
        </w:rPr>
      </w:pPr>
      <w:r>
        <w:rPr>
          <w:sz w:val="20"/>
        </w:rPr>
      </w:r>
    </w:p>
    <w:p>
      <w:pPr>
        <w:pStyle w:val="Normal"/>
        <w:tabs>
          <w:tab w:val="left" w:pos="6237" w:leader="none"/>
          <w:tab w:val="left" w:pos="9498" w:leader="none"/>
        </w:tabs>
        <w:rPr>
          <w:sz w:val="20"/>
        </w:rPr>
      </w:pPr>
      <w:r>
        <w:rPr>
          <w:sz w:val="20"/>
        </w:rPr>
      </w:r>
    </w:p>
    <w:p>
      <w:pPr>
        <w:pStyle w:val="Normal"/>
        <w:tabs>
          <w:tab w:val="left" w:pos="6237" w:leader="none"/>
          <w:tab w:val="left" w:pos="9498" w:leader="none"/>
        </w:tabs>
        <w:rPr>
          <w:sz w:val="20"/>
        </w:rPr>
      </w:pPr>
      <w:r>
        <w:rPr>
          <w:sz w:val="20"/>
        </w:rPr>
      </w:r>
    </w:p>
    <w:p>
      <w:pPr>
        <w:pStyle w:val="Normal"/>
        <w:tabs>
          <w:tab w:val="left" w:pos="0" w:leader="none"/>
          <w:tab w:val="left" w:pos="142" w:leader="none"/>
        </w:tabs>
        <w:jc w:val="center"/>
        <w:rPr>
          <w:b/>
          <w:b/>
          <w:u w:val="single"/>
        </w:rPr>
      </w:pPr>
      <w:r>
        <w:rPr>
          <w:b/>
          <w:u w:val="single"/>
        </w:rPr>
      </w:r>
    </w:p>
    <w:p>
      <w:pPr>
        <w:pStyle w:val="PlainText"/>
        <w:jc w:val="center"/>
        <w:rPr>
          <w:rFonts w:ascii="Arial" w:hAnsi="Arial"/>
          <w:b/>
          <w:b/>
          <w:i/>
          <w:i/>
          <w:sz w:val="22"/>
          <w:u w:val="single"/>
        </w:rPr>
      </w:pPr>
      <w:r>
        <w:rPr>
          <w:rFonts w:ascii="Arial" w:hAnsi="Arial"/>
          <w:b/>
          <w:i/>
          <w:sz w:val="22"/>
          <w:u w:val="single"/>
        </w:rPr>
        <w:t>ETAT N°1</w:t>
      </w:r>
      <w:r>
        <w:rPr>
          <w:rFonts w:ascii="Arial" w:hAnsi="Arial"/>
          <w:b/>
          <w:sz w:val="22"/>
          <w:u w:val="single"/>
        </w:rPr>
        <w:t>–B</w:t>
      </w:r>
      <w:r>
        <w:rPr>
          <w:rFonts w:ascii="Arial" w:hAnsi="Arial"/>
          <w:b/>
          <w:sz w:val="22"/>
        </w:rPr>
        <w:t xml:space="preserve">  ANNEE </w:t>
      </w:r>
    </w:p>
    <w:p>
      <w:pPr>
        <w:pStyle w:val="Normal"/>
        <w:jc w:val="center"/>
        <w:rPr/>
      </w:pPr>
      <w:r>
        <w:rPr/>
        <w:t>Dépenses réelles d’investissement</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63"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C)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left" w:pos="6237" w:leader="none"/>
          <w:tab w:val="left" w:pos="9498" w:leader="none"/>
        </w:tabs>
        <w:rPr/>
      </w:pPr>
      <w:r>
        <w:rPr/>
        <w:tab/>
      </w:r>
    </w:p>
    <w:p>
      <w:pPr>
        <w:pStyle w:val="Normal"/>
        <w:tabs>
          <w:tab w:val="left" w:pos="6237" w:leader="none"/>
          <w:tab w:val="left" w:pos="9498" w:leader="none"/>
        </w:tabs>
        <w:rPr>
          <w:sz w:val="20"/>
        </w:rPr>
      </w:pPr>
      <w:r>
        <w:rPr>
          <w:sz w:val="20"/>
        </w:rPr>
        <w:tab/>
        <w:t>Fait à</w:t>
        <w:tab/>
        <w:t>, le</w:t>
      </w:r>
    </w:p>
    <w:p>
      <w:pPr>
        <w:pStyle w:val="Normal"/>
        <w:tabs>
          <w:tab w:val="left" w:pos="6237" w:leader="none"/>
          <w:tab w:val="left" w:pos="9498" w:leader="none"/>
        </w:tabs>
        <w:rPr>
          <w:sz w:val="20"/>
        </w:rPr>
      </w:pPr>
      <w:r>
        <w:rPr>
          <w:sz w:val="20"/>
        </w:rPr>
      </w:r>
      <w:r>
        <w:br w:type="page"/>
      </w:r>
    </w:p>
    <w:p>
      <w:pPr>
        <w:pStyle w:val="Normal"/>
        <w:tabs>
          <w:tab w:val="left" w:pos="6379" w:leader="none"/>
        </w:tabs>
        <w:jc w:val="center"/>
        <w:rPr>
          <w:b/>
          <w:b/>
          <w:i/>
          <w:i/>
          <w:u w:val="single"/>
        </w:rPr>
      </w:pPr>
      <w:r>
        <w:rPr>
          <w:b/>
          <w:i/>
          <w:u w:val="single"/>
        </w:rPr>
        <w:t xml:space="preserve">ANNEXE 1 A L'ETAT N°1-B </w:t>
      </w:r>
      <w:r>
        <w:rPr>
          <w:b/>
        </w:rPr>
        <w:t xml:space="preserve"> - ANNEE </w:t>
      </w:r>
    </w:p>
    <w:p>
      <w:pPr>
        <w:pStyle w:val="Normal"/>
        <w:jc w:val="center"/>
        <w:rPr>
          <w:sz w:val="20"/>
        </w:rPr>
      </w:pPr>
      <w:r>
        <w:rPr>
          <w:sz w:val="20"/>
        </w:rPr>
        <w:t>Certification des opérations sous mandat éligibles au FCTVA ayant fait l'objet d'un transfert aux comptes 21 ou 23 (chez la collectivité mandante)</w:t>
      </w:r>
    </w:p>
    <w:p>
      <w:pPr>
        <w:pStyle w:val="Normal"/>
        <w:rPr/>
      </w:pPr>
      <w:r>
        <w:rPr/>
      </w:r>
    </w:p>
    <w:tbl>
      <w:tblPr>
        <w:tblW w:w="15668"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63" w:type="dxa"/>
          <w:bottom w:w="0" w:type="dxa"/>
          <w:right w:w="71" w:type="dxa"/>
        </w:tblCellMar>
        <w:tblLook w:val="0000"/>
      </w:tblPr>
      <w:tblGrid>
        <w:gridCol w:w="4325"/>
        <w:gridCol w:w="2269"/>
        <w:gridCol w:w="2269"/>
        <w:gridCol w:w="2269"/>
        <w:gridCol w:w="2268"/>
        <w:gridCol w:w="2267"/>
      </w:tblGrid>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Nature de l'opération : travaux, achats,...</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Organisme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et visa du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du comptable du mandataire</w:t>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 xml:space="preserve">Nom du commissaire aux comptes du mandataire </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hanging="11"/>
              <w:jc w:val="center"/>
              <w:rPr>
                <w:sz w:val="18"/>
              </w:rPr>
            </w:pPr>
            <w:r>
              <w:rPr>
                <w:sz w:val="18"/>
              </w:rPr>
              <w:t>Montant</w:t>
            </w:r>
          </w:p>
        </w:tc>
      </w:tr>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7"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 xml:space="preserve">Le Maire (ou le Président) </w:t>
            </w:r>
            <w:r>
              <w:rPr>
                <w:sz w:val="20"/>
                <w:u w:val="single"/>
              </w:rPr>
              <w:t>certifie</w:t>
            </w:r>
            <w:r>
              <w:rPr>
                <w:sz w:val="20"/>
              </w:rPr>
              <w:t xml:space="preserve"> que les travaux visés ci-dessus ont été effectués à la demande de la commune pour son compte, et qu'ils ne donneront pas lieu par ailleurs à récupération de la TVA.</w:t>
            </w:r>
          </w:p>
          <w:p>
            <w:pPr>
              <w:pStyle w:val="Normal"/>
              <w:rPr>
                <w:sz w:val="20"/>
              </w:rPr>
            </w:pPr>
            <w:r>
              <w:rPr>
                <w:sz w:val="20"/>
              </w:rPr>
            </w:r>
          </w:p>
        </w:tc>
      </w:tr>
      <w:tr>
        <w:trPr>
          <w:cantSplit w:val="true"/>
        </w:trPr>
        <w:tc>
          <w:tcPr>
            <w:tcW w:w="15663" w:type="dxa"/>
            <w:tcBorders/>
            <w:shd w:fill="auto" w:val="clear"/>
          </w:tcPr>
          <w:p>
            <w:pPr>
              <w:pStyle w:val="Entte"/>
              <w:tabs>
                <w:tab w:val="clear" w:pos="4536"/>
                <w:tab w:val="clear" w:pos="9072"/>
              </w:tabs>
              <w:rPr>
                <w:rFonts w:ascii="Arial" w:hAnsi="Arial"/>
              </w:rPr>
            </w:pPr>
            <w:r>
              <w:rPr>
                <w:rFonts w:ascii="Arial" w:hAnsi="Arial"/>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Textebrutstyle2"/>
        <w:jc w:val="center"/>
        <w:rPr>
          <w:rFonts w:ascii="Arial" w:hAnsi="Arial"/>
          <w:b/>
          <w:b/>
          <w:i/>
          <w:i/>
          <w:sz w:val="22"/>
          <w:u w:val="single"/>
        </w:rPr>
      </w:pPr>
      <w:r>
        <w:br w:type="page"/>
      </w:r>
      <w:r>
        <w:rPr>
          <w:rFonts w:ascii="Arial" w:hAnsi="Arial"/>
          <w:b/>
          <w:i/>
          <w:sz w:val="22"/>
          <w:u w:val="single"/>
        </w:rPr>
        <w:t>ANNEXE 2 A L’ETAT N°1</w:t>
      </w:r>
      <w:r>
        <w:rPr>
          <w:rFonts w:ascii="Arial" w:hAnsi="Arial"/>
          <w:b/>
          <w:sz w:val="22"/>
          <w:u w:val="single"/>
        </w:rPr>
        <w:t xml:space="preserve">–B </w:t>
      </w:r>
      <w:r>
        <w:rPr>
          <w:rFonts w:ascii="Arial" w:hAnsi="Arial"/>
          <w:b/>
          <w:sz w:val="22"/>
        </w:rPr>
        <w:t xml:space="preserve">ANNEE </w:t>
      </w:r>
    </w:p>
    <w:p>
      <w:pPr>
        <w:pStyle w:val="Titreprincipal"/>
        <w:rPr/>
      </w:pPr>
      <w:r>
        <w:rPr/>
      </w:r>
    </w:p>
    <w:p>
      <w:pPr>
        <w:pStyle w:val="Normal"/>
        <w:jc w:val="center"/>
        <w:rPr>
          <w:sz w:val="20"/>
        </w:rPr>
      </w:pPr>
      <w:r>
        <w:rPr>
          <w:sz w:val="20"/>
        </w:rPr>
        <w:t>Eligibilité au FCTVA en cas d’annulation de marchés publics</w:t>
      </w:r>
    </w:p>
    <w:p>
      <w:pPr>
        <w:pStyle w:val="Entte"/>
        <w:tabs>
          <w:tab w:val="clear" w:pos="4536"/>
          <w:tab w:val="clear" w:pos="9072"/>
        </w:tabs>
        <w:rPr>
          <w:rFonts w:ascii="Arial" w:hAnsi="Arial"/>
          <w:sz w:val="18"/>
        </w:rPr>
      </w:pPr>
      <w:r>
        <w:rPr>
          <w:rFonts w:ascii="Arial" w:hAnsi="Arial"/>
          <w:sz w:val="18"/>
        </w:rPr>
      </w:r>
    </w:p>
    <w:tbl>
      <w:tblPr>
        <w:tblW w:w="15233"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0bf"/>
      </w:tblPr>
      <w:tblGrid>
        <w:gridCol w:w="1063"/>
        <w:gridCol w:w="917"/>
        <w:gridCol w:w="375"/>
        <w:gridCol w:w="1"/>
        <w:gridCol w:w="1257"/>
        <w:gridCol w:w="1"/>
        <w:gridCol w:w="1097"/>
        <w:gridCol w:w="2"/>
        <w:gridCol w:w="1876"/>
        <w:gridCol w:w="2"/>
        <w:gridCol w:w="990"/>
        <w:gridCol w:w="1"/>
        <w:gridCol w:w="991"/>
        <w:gridCol w:w="1"/>
        <w:gridCol w:w="2"/>
        <w:gridCol w:w="1130"/>
        <w:gridCol w:w="1"/>
        <w:gridCol w:w="1132"/>
        <w:gridCol w:w="2"/>
        <w:gridCol w:w="3"/>
        <w:gridCol w:w="1272"/>
        <w:gridCol w:w="1"/>
        <w:gridCol w:w="1132"/>
        <w:gridCol w:w="2"/>
        <w:gridCol w:w="3"/>
        <w:gridCol w:w="987"/>
        <w:gridCol w:w="1"/>
        <w:gridCol w:w="990"/>
      </w:tblGrid>
      <w:tr>
        <w:trPr>
          <w:cantSplit w:val="true"/>
        </w:trPr>
        <w:tc>
          <w:tcPr>
            <w:tcW w:w="1063"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Compte et article</w:t>
            </w:r>
          </w:p>
        </w:tc>
        <w:tc>
          <w:tcPr>
            <w:tcW w:w="1293" w:type="dxa"/>
            <w:gridSpan w:val="3"/>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Qualification et nature du marché</w:t>
            </w:r>
          </w:p>
        </w:tc>
        <w:tc>
          <w:tcPr>
            <w:tcW w:w="125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Date du jugement d’annulation</w:t>
            </w:r>
          </w:p>
        </w:tc>
        <w:tc>
          <w:tcPr>
            <w:tcW w:w="1099"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Prix total du marché</w:t>
            </w:r>
          </w:p>
        </w:tc>
        <w:tc>
          <w:tcPr>
            <w:tcW w:w="187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 xml:space="preserve">Bien comptabilisé au compte 21 et ayant déjà donné lieu à attribution du FCTVA* </w:t>
            </w:r>
          </w:p>
        </w:tc>
        <w:tc>
          <w:tcPr>
            <w:tcW w:w="1985"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ayant donné  lieu à attribution du FCTVA*</w:t>
            </w:r>
          </w:p>
        </w:tc>
        <w:tc>
          <w:tcPr>
            <w:tcW w:w="2268"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mais n’ayant pas donné lieu à attribution FCTVA, requalifiés en indemnité</w:t>
            </w:r>
          </w:p>
          <w:p>
            <w:pPr>
              <w:pStyle w:val="Normal"/>
              <w:jc w:val="center"/>
              <w:rPr>
                <w:sz w:val="18"/>
              </w:rPr>
            </w:pPr>
            <w:r>
              <w:rPr>
                <w:sz w:val="18"/>
              </w:rPr>
              <w:t>et comptabilisé 678</w:t>
            </w:r>
          </w:p>
        </w:tc>
        <w:tc>
          <w:tcPr>
            <w:tcW w:w="2410"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Sommes versées après annulation et comptabilisées au compte 678</w:t>
            </w:r>
          </w:p>
        </w:tc>
        <w:tc>
          <w:tcPr>
            <w:tcW w:w="1978" w:type="dxa"/>
            <w:gridSpan w:val="3"/>
            <w:tcBorders>
              <w:top w:val="single" w:sz="12" w:space="0" w:color="000000"/>
              <w:left w:val="single" w:sz="6" w:space="0" w:color="000000"/>
              <w:right w:val="single" w:sz="12" w:space="0" w:color="000000"/>
              <w:insideV w:val="single" w:sz="12"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Montant total de l’indemnité ouvrant droit au FCTVA :</w:t>
            </w:r>
          </w:p>
          <w:p>
            <w:pPr>
              <w:pStyle w:val="Normal"/>
              <w:jc w:val="center"/>
              <w:rPr>
                <w:sz w:val="18"/>
              </w:rPr>
            </w:pPr>
            <w:r>
              <w:rPr>
                <w:rFonts w:eastAsia="Wingdings" w:cs="Wingdings" w:ascii="Wingdings" w:hAnsi="Wingdings"/>
                <w:sz w:val="18"/>
              </w:rPr>
              <w:t></w:t>
            </w:r>
            <w:r>
              <w:rPr>
                <w:sz w:val="18"/>
              </w:rPr>
              <w:t>+</w:t>
            </w:r>
            <w:r>
              <w:rPr>
                <w:rFonts w:eastAsia="Wingdings" w:cs="Wingdings" w:ascii="Wingdings" w:hAnsi="Wingdings"/>
                <w:sz w:val="18"/>
              </w:rPr>
              <w:t></w:t>
            </w:r>
          </w:p>
          <w:p>
            <w:pPr>
              <w:pStyle w:val="Normal"/>
              <w:jc w:val="center"/>
              <w:rPr>
                <w:sz w:val="18"/>
              </w:rPr>
            </w:pPr>
            <w:r>
              <w:rPr>
                <w:sz w:val="18"/>
              </w:rPr>
            </w:r>
          </w:p>
          <w:p>
            <w:pPr>
              <w:pStyle w:val="Normal"/>
              <w:jc w:val="center"/>
              <w:rPr>
                <w:sz w:val="18"/>
              </w:rPr>
            </w:pPr>
            <w:r>
              <w:rPr>
                <w:sz w:val="18"/>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2"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133"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276"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991"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0" w:type="dxa"/>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jc w:val="center"/>
              <w:rPr>
                <w:i/>
                <w:i/>
                <w:sz w:val="17"/>
              </w:rPr>
            </w:pPr>
            <w:r>
              <w:rPr>
                <w:i/>
                <w:sz w:val="17"/>
              </w:rPr>
              <w:t>TTC</w:t>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top w:val="single" w:sz="12" w:space="0" w:color="000000"/>
            </w:tcBorders>
            <w:shd w:fill="auto" w:val="clear"/>
          </w:tcPr>
          <w:p>
            <w:pPr>
              <w:pStyle w:val="Normal"/>
              <w:rPr/>
            </w:pPr>
            <w:r>
              <w:rPr/>
            </w:r>
          </w:p>
        </w:tc>
        <w:tc>
          <w:tcPr>
            <w:tcW w:w="1293" w:type="dxa"/>
            <w:gridSpan w:val="3"/>
            <w:tcBorders>
              <w:top w:val="single" w:sz="12" w:space="0" w:color="000000"/>
            </w:tcBorders>
            <w:shd w:fill="auto" w:val="clear"/>
          </w:tcPr>
          <w:p>
            <w:pPr>
              <w:pStyle w:val="Normal"/>
              <w:rPr/>
            </w:pPr>
            <w:r>
              <w:rPr/>
            </w:r>
          </w:p>
        </w:tc>
        <w:tc>
          <w:tcPr>
            <w:tcW w:w="1258" w:type="dxa"/>
            <w:gridSpan w:val="2"/>
            <w:tcBorders>
              <w:top w:val="single" w:sz="12" w:space="0" w:color="000000"/>
            </w:tcBorders>
            <w:shd w:fill="auto" w:val="clear"/>
          </w:tcPr>
          <w:p>
            <w:pPr>
              <w:pStyle w:val="Normal"/>
              <w:rPr/>
            </w:pPr>
            <w:r>
              <w:rPr/>
            </w:r>
          </w:p>
        </w:tc>
        <w:tc>
          <w:tcPr>
            <w:tcW w:w="1099" w:type="dxa"/>
            <w:gridSpan w:val="2"/>
            <w:tcBorders>
              <w:top w:val="single" w:sz="12" w:space="0" w:color="000000"/>
            </w:tcBorders>
            <w:shd w:fill="auto" w:val="clear"/>
          </w:tcPr>
          <w:p>
            <w:pPr>
              <w:pStyle w:val="Normal"/>
              <w:rPr/>
            </w:pPr>
            <w:r>
              <w:rPr/>
            </w:r>
          </w:p>
        </w:tc>
        <w:tc>
          <w:tcPr>
            <w:tcW w:w="1878" w:type="dxa"/>
            <w:gridSpan w:val="2"/>
            <w:tcBorders>
              <w:top w:val="single" w:sz="12" w:space="0" w:color="000000"/>
            </w:tcBorders>
            <w:shd w:fill="auto" w:val="clear"/>
          </w:tcPr>
          <w:p>
            <w:pPr>
              <w:pStyle w:val="Normal"/>
              <w:rPr/>
            </w:pPr>
            <w:r>
              <w:rPr/>
            </w:r>
          </w:p>
        </w:tc>
        <w:tc>
          <w:tcPr>
            <w:tcW w:w="991" w:type="dxa"/>
            <w:gridSpan w:val="2"/>
            <w:tcBorders>
              <w:top w:val="single" w:sz="12" w:space="0" w:color="000000"/>
            </w:tcBorders>
            <w:shd w:fill="auto" w:val="clear"/>
          </w:tcPr>
          <w:p>
            <w:pPr>
              <w:pStyle w:val="Normal"/>
              <w:rPr/>
            </w:pPr>
            <w:r>
              <w:rPr/>
            </w:r>
          </w:p>
        </w:tc>
        <w:tc>
          <w:tcPr>
            <w:tcW w:w="992" w:type="dxa"/>
            <w:gridSpan w:val="2"/>
            <w:tcBorders>
              <w:top w:val="single" w:sz="12" w:space="0" w:color="000000"/>
            </w:tcBorders>
            <w:shd w:fill="auto" w:val="clear"/>
          </w:tcPr>
          <w:p>
            <w:pPr>
              <w:pStyle w:val="Normal"/>
              <w:rPr/>
            </w:pPr>
            <w:r>
              <w:rPr/>
            </w:r>
          </w:p>
        </w:tc>
        <w:tc>
          <w:tcPr>
            <w:tcW w:w="1133"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rPr/>
            </w:pPr>
            <w:r>
              <w:rPr/>
            </w:r>
          </w:p>
        </w:tc>
        <w:tc>
          <w:tcPr>
            <w:tcW w:w="1276"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ind w:left="-70" w:firstLine="70"/>
              <w:rPr>
                <w:sz w:val="16"/>
              </w:rPr>
            </w:pPr>
            <w:r>
              <w:rPr>
                <w:sz w:val="16"/>
              </w:rPr>
              <w:t>Total TTC</w:t>
            </w:r>
          </w:p>
          <w:p>
            <w:pPr>
              <w:pStyle w:val="Normal"/>
              <w:ind w:left="-70" w:firstLine="70"/>
              <w:rPr>
                <w:sz w:val="16"/>
              </w:rPr>
            </w:pPr>
            <w:r>
              <w:rPr>
                <w:sz w:val="16"/>
              </w:rPr>
              <w:t>à reporter</w:t>
            </w:r>
          </w:p>
          <w:p>
            <w:pPr>
              <w:pStyle w:val="Normal"/>
              <w:ind w:left="-70" w:firstLine="70"/>
              <w:rPr>
                <w:sz w:val="16"/>
              </w:rPr>
            </w:pPr>
            <w:r>
              <w:rPr>
                <w:sz w:val="16"/>
              </w:rPr>
              <w:t>sur l’état   consolidé</w:t>
            </w:r>
          </w:p>
          <w:p>
            <w:pPr>
              <w:pStyle w:val="Normal"/>
              <w:ind w:left="-70" w:firstLine="70"/>
              <w:rPr/>
            </w:pPr>
            <w:r>
              <w:rPr>
                <w:sz w:val="16"/>
              </w:rPr>
              <w:t>partie D-8</w:t>
            </w:r>
          </w:p>
        </w:tc>
        <w:tc>
          <w:tcPr>
            <w:tcW w:w="198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p>
            <w:pPr>
              <w:pStyle w:val="Normal"/>
              <w:rPr/>
            </w:pPr>
            <w:r>
              <w:rPr/>
              <w:t xml:space="preserve">          </w:t>
            </w:r>
          </w:p>
          <w:p>
            <w:pPr>
              <w:pStyle w:val="Normal"/>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restart"/>
            <w:tcBorders/>
            <w:shd w:fill="auto" w:val="clear"/>
          </w:tcPr>
          <w:p>
            <w:pPr>
              <w:pStyle w:val="Normal"/>
              <w:jc w:val="center"/>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continue"/>
            <w:tcBorders/>
            <w:shd w:fill="auto" w:val="clear"/>
          </w:tcPr>
          <w:p>
            <w:pPr>
              <w:pStyle w:val="Normal"/>
              <w:rPr/>
            </w:pPr>
            <w:r>
              <w:rPr/>
            </w:r>
          </w:p>
        </w:tc>
      </w:tr>
      <w:tr>
        <w:trPr>
          <w:cantSplit w:val="true"/>
        </w:trPr>
        <w:tc>
          <w:tcPr>
            <w:tcW w:w="1980" w:type="dxa"/>
            <w:gridSpan w:val="2"/>
            <w:tcBorders/>
            <w:shd w:fill="auto" w:val="clear"/>
          </w:tcPr>
          <w:p>
            <w:pPr>
              <w:pStyle w:val="Normal"/>
              <w:rPr/>
            </w:pPr>
            <w:r>
              <w:rPr/>
            </w:r>
          </w:p>
        </w:tc>
        <w:tc>
          <w:tcPr>
            <w:tcW w:w="375" w:type="dxa"/>
            <w:tcBorders/>
            <w:shd w:fill="auto" w:val="clear"/>
          </w:tcPr>
          <w:p>
            <w:pPr>
              <w:pStyle w:val="Normal"/>
              <w:rPr/>
            </w:pPr>
            <w:r>
              <w:rPr/>
            </w:r>
          </w:p>
        </w:tc>
        <w:tc>
          <w:tcPr>
            <w:tcW w:w="1258" w:type="dxa"/>
            <w:gridSpan w:val="2"/>
            <w:tcBorders/>
            <w:shd w:fill="auto" w:val="clear"/>
          </w:tcPr>
          <w:p>
            <w:pPr>
              <w:pStyle w:val="Normal"/>
              <w:rPr/>
            </w:pPr>
            <w:r>
              <w:rPr/>
            </w:r>
          </w:p>
        </w:tc>
        <w:tc>
          <w:tcPr>
            <w:tcW w:w="1098"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1277"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992" w:type="dxa"/>
            <w:gridSpan w:val="3"/>
            <w:tcBorders/>
            <w:shd w:fill="auto" w:val="clear"/>
          </w:tcPr>
          <w:p>
            <w:pPr>
              <w:pStyle w:val="Normal"/>
              <w:rPr/>
            </w:pPr>
            <w:r>
              <w:rPr/>
            </w:r>
          </w:p>
        </w:tc>
        <w:tc>
          <w:tcPr>
            <w:tcW w:w="991" w:type="dxa"/>
            <w:gridSpan w:val="2"/>
            <w:tcBorders/>
            <w:shd w:fill="auto" w:val="clear"/>
          </w:tcPr>
          <w:p>
            <w:pPr>
              <w:pStyle w:val="Normal"/>
              <w:rPr/>
            </w:pPr>
            <w:r>
              <w:rPr/>
            </w:r>
          </w:p>
        </w:tc>
      </w:tr>
    </w:tbl>
    <w:p>
      <w:pPr>
        <w:pStyle w:val="Normal"/>
        <w:rPr>
          <w:b/>
          <w:b/>
          <w:i/>
          <w:i/>
          <w:sz w:val="15"/>
        </w:rPr>
      </w:pPr>
      <w:r>
        <w:rPr>
          <w:b/>
          <w:i/>
          <w:sz w:val="15"/>
        </w:rPr>
        <w:t>*Ces attributions ne seront pas remises en cause</w:t>
      </w:r>
    </w:p>
    <w:p>
      <w:pPr>
        <w:pStyle w:val="Normal"/>
        <w:rPr>
          <w:b/>
          <w:b/>
          <w:i/>
          <w:i/>
          <w:sz w:val="16"/>
        </w:rPr>
      </w:pPr>
      <w:r>
        <w:rPr>
          <w:b/>
          <w:i/>
          <w:sz w:val="16"/>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ANNEXE 3 A L’ETAT N°1-B</w:t>
      </w:r>
      <w:r>
        <w:rPr>
          <w:b/>
        </w:rPr>
        <w:t xml:space="preserve"> ANNEE </w:t>
      </w:r>
    </w:p>
    <w:p>
      <w:pPr>
        <w:pStyle w:val="Normal"/>
        <w:jc w:val="center"/>
        <w:rPr>
          <w:sz w:val="20"/>
        </w:rPr>
      </w:pPr>
      <w:r>
        <w:rPr>
          <w:sz w:val="20"/>
        </w:rPr>
      </w:r>
    </w:p>
    <w:p>
      <w:pPr>
        <w:pStyle w:val="Normal"/>
        <w:jc w:val="center"/>
        <w:rPr>
          <w:b/>
          <w:b/>
          <w:sz w:val="20"/>
        </w:rPr>
      </w:pPr>
      <w:r>
        <w:rPr>
          <w:b/>
          <w:sz w:val="20"/>
        </w:rPr>
        <w:t xml:space="preserve">Opérations d’investissement réalisées sur le domaine public routier de l’Etat ou d’une autre collectivité </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(création d’un giratoire, aménagements de trottoirs….)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routier (Etat, collectivité territoriale)</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D-9)</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rPr>
      </w:pPr>
      <w:r>
        <w:br w:type="page"/>
      </w:r>
      <w:r>
        <w:rPr>
          <w:b/>
          <w:i/>
          <w:u w:val="single"/>
        </w:rPr>
        <w:t xml:space="preserve">ANNEXE 4 A L’ETAT N°1-B </w:t>
      </w:r>
      <w:r>
        <w:rPr>
          <w:b/>
        </w:rPr>
        <w:t xml:space="preserve">  ANNEE </w:t>
      </w:r>
    </w:p>
    <w:p>
      <w:pPr>
        <w:pStyle w:val="Normal"/>
        <w:jc w:val="center"/>
        <w:rPr>
          <w:sz w:val="20"/>
        </w:rPr>
      </w:pPr>
      <w:r>
        <w:rPr>
          <w:sz w:val="20"/>
        </w:rPr>
      </w:r>
    </w:p>
    <w:p>
      <w:pPr>
        <w:pStyle w:val="Normal"/>
        <w:jc w:val="center"/>
        <w:rPr>
          <w:b/>
          <w:b/>
          <w:sz w:val="20"/>
        </w:rPr>
      </w:pPr>
      <w:r>
        <w:rPr>
          <w:b/>
          <w:sz w:val="20"/>
        </w:rPr>
        <w:t>Subventions d’investissement versées à l’Etat ou à une autre collectivité territoriale ou à un EPCI pour des travaux de voirie</w:t>
      </w:r>
    </w:p>
    <w:p>
      <w:pPr>
        <w:pStyle w:val="Normal"/>
        <w:ind w:firstLine="708"/>
        <w:jc w:val="center"/>
        <w:rPr>
          <w:sz w:val="20"/>
        </w:rPr>
      </w:pPr>
      <w:r>
        <w:rPr>
          <w:b/>
          <w:sz w:val="20"/>
        </w:rPr>
        <w:t>Imputés au compte 204</w:t>
      </w:r>
      <w:r>
        <w:rPr>
          <w:sz w:val="20"/>
        </w:rPr>
        <w:t xml:space="preserve"> </w:t>
      </w:r>
    </w:p>
    <w:p>
      <w:pPr>
        <w:pStyle w:val="Normal"/>
        <w:jc w:val="center"/>
        <w:rPr>
          <w:b/>
          <w:b/>
          <w:sz w:val="20"/>
        </w:rPr>
      </w:pPr>
      <w:r>
        <w:rPr>
          <w:b/>
          <w:sz w:val="20"/>
        </w:rPr>
      </w:r>
    </w:p>
    <w:p>
      <w:pPr>
        <w:pStyle w:val="Normal"/>
        <w:jc w:val="center"/>
        <w:rPr>
          <w:b/>
          <w:b/>
          <w:sz w:val="20"/>
        </w:rPr>
      </w:pPr>
      <w:r>
        <w:rPr>
          <w:b/>
          <w:i/>
          <w:sz w:val="20"/>
        </w:rPr>
        <w:t>(article L. 1615-2 du CGCT</w:t>
      </w:r>
      <w:r>
        <w:rPr>
          <w:b/>
          <w:sz w:val="20"/>
        </w:rPr>
        <w:t>)</w:t>
      </w:r>
    </w:p>
    <w:p>
      <w:pPr>
        <w:pStyle w:val="Normal"/>
        <w:rPr>
          <w:sz w:val="20"/>
        </w:rPr>
      </w:pPr>
      <w:r>
        <w:rPr>
          <w:sz w:val="20"/>
        </w:rPr>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Bénéficiaire du fonds de concours, propriétaire de la voirie concernée par les travaux</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Nature de l’opération et lieu (création d’un giratoire, aménagements de trottoirs….)</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Nom et visa du bénéficiaire du fonds de concours</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C-2)</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Normal"/>
        <w:rPr>
          <w:sz w:val="20"/>
        </w:rPr>
      </w:pPr>
      <w:r>
        <w:rPr>
          <w:sz w:val="20"/>
        </w:rPr>
      </w:r>
    </w:p>
    <w:p>
      <w:pPr>
        <w:pStyle w:val="Normal"/>
        <w:rPr>
          <w:sz w:val="20"/>
        </w:rPr>
      </w:pPr>
      <w:r>
        <w:rPr>
          <w:sz w:val="20"/>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 xml:space="preserve">ANNEXE 5 A L’ETAT N°1-B </w:t>
      </w:r>
      <w:r>
        <w:rPr>
          <w:b/>
        </w:rPr>
        <w:t xml:space="preserve">  ANNEE </w:t>
      </w:r>
    </w:p>
    <w:p>
      <w:pPr>
        <w:pStyle w:val="Normal"/>
        <w:jc w:val="center"/>
        <w:rPr/>
      </w:pPr>
      <w:r>
        <w:rPr/>
      </w:r>
    </w:p>
    <w:p>
      <w:pPr>
        <w:pStyle w:val="Normal"/>
        <w:jc w:val="center"/>
        <w:rPr>
          <w:b/>
          <w:b/>
        </w:rPr>
      </w:pPr>
      <w:r>
        <w:rPr>
          <w:b/>
        </w:rPr>
        <w:t>Frais d’études en vue de la réalisation d’une opération d’investissement</w:t>
      </w:r>
    </w:p>
    <w:p>
      <w:pPr>
        <w:pStyle w:val="Normal"/>
        <w:jc w:val="center"/>
        <w:rPr>
          <w:b/>
          <w:b/>
        </w:rPr>
      </w:pPr>
      <w:r>
        <w:rPr>
          <w:b/>
          <w:i/>
        </w:rPr>
        <w:t>(article  L .1615-7 du CGCT</w:t>
      </w:r>
      <w:r>
        <w:rPr>
          <w:b/>
        </w:rPr>
        <w:t>)</w:t>
      </w:r>
    </w:p>
    <w:p>
      <w:pPr>
        <w:pStyle w:val="Normal"/>
        <w:jc w:val="center"/>
        <w:rPr>
          <w:b/>
          <w:b/>
        </w:rPr>
      </w:pPr>
      <w:r>
        <w:rPr>
          <w:b/>
        </w:rPr>
      </w:r>
    </w:p>
    <w:p>
      <w:pPr>
        <w:pStyle w:val="Textebrutstyle2"/>
        <w:numPr>
          <w:ilvl w:val="0"/>
          <w:numId w:val="1"/>
        </w:numPr>
        <w:tabs>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réalise l’étude</w:t>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36" w:hanging="0"/>
              <w:jc w:val="center"/>
              <w:rPr>
                <w:sz w:val="18"/>
              </w:rPr>
            </w:pPr>
            <w:r>
              <w:rPr>
                <w:sz w:val="18"/>
              </w:rPr>
              <w:t>Objet de l’étude préparatoire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Collectivité territoriale ou EPCI ayant réalisé les travaux et date de réalisation des travaux</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Nom et visa de la collectivité territoriale ou de l’EPCI ayant réalisé les travaux</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 – 10)</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PlainText"/>
        <w:numPr>
          <w:ilvl w:val="0"/>
          <w:numId w:val="1"/>
        </w:numPr>
        <w:tabs>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fait les travaux</w:t>
      </w:r>
    </w:p>
    <w:tbl>
      <w:tblPr>
        <w:tblW w:w="156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4465"/>
        <w:gridCol w:w="3686"/>
        <w:gridCol w:w="4252"/>
        <w:gridCol w:w="3119"/>
        <w:gridCol w:w="141"/>
      </w:tblGrid>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Nature des travaux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Collectivité territoriale ou EPCI ayant réalisé les études</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Nom et visa de la collectivité territoriale ou de l’EPCI ayant réalisé les études</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Montant TTC des travaux hors études à faire inscrire en partie A de l’état  n°1</w:t>
            </w:r>
          </w:p>
        </w:tc>
        <w:tc>
          <w:tcPr>
            <w:tcW w:w="141" w:type="dxa"/>
            <w:tcBorders/>
            <w:shd w:fill="auto" w:val="clear"/>
          </w:tcPr>
          <w:p>
            <w:pPr>
              <w:pStyle w:val="Normal"/>
              <w:rPr/>
            </w:pPr>
            <w:r>
              <w:rPr/>
            </w:r>
          </w:p>
        </w:tc>
      </w:tr>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1" w:type="dxa"/>
            <w:tcBorders/>
            <w:shd w:fill="auto" w:val="clear"/>
          </w:tcPr>
          <w:p>
            <w:pPr>
              <w:pStyle w:val="Normal"/>
              <w:rPr/>
            </w:pPr>
            <w:r>
              <w:rPr/>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t>Fait à                                              , le</w:t>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pPr>
      <w:r>
        <w:rPr/>
      </w:r>
    </w:p>
    <w:p>
      <w:pPr>
        <w:pStyle w:val="Normal"/>
        <w:jc w:val="center"/>
        <w:rPr/>
      </w:pPr>
      <w:r>
        <w:rPr/>
      </w:r>
    </w:p>
    <w:p>
      <w:pPr>
        <w:pStyle w:val="Normal"/>
        <w:jc w:val="center"/>
        <w:rPr>
          <w:b/>
          <w:b/>
        </w:rPr>
      </w:pPr>
      <w:r>
        <w:rPr>
          <w:b/>
          <w:i/>
          <w:u w:val="single"/>
        </w:rPr>
        <w:t xml:space="preserve">ANNEXE 6 A L’ETAT N°1-B </w:t>
      </w:r>
      <w:r>
        <w:rPr>
          <w:b/>
        </w:rPr>
        <w:t xml:space="preserve"> -ANNEE </w:t>
      </w:r>
    </w:p>
    <w:p>
      <w:pPr>
        <w:pStyle w:val="Normal"/>
        <w:jc w:val="center"/>
        <w:rPr>
          <w:sz w:val="20"/>
        </w:rPr>
      </w:pPr>
      <w:r>
        <w:rPr>
          <w:sz w:val="20"/>
        </w:rPr>
      </w:r>
    </w:p>
    <w:p>
      <w:pPr>
        <w:pStyle w:val="Normal"/>
        <w:jc w:val="center"/>
        <w:rPr>
          <w:b/>
          <w:b/>
          <w:sz w:val="20"/>
        </w:rPr>
      </w:pPr>
      <w:r>
        <w:rPr>
          <w:b/>
          <w:sz w:val="20"/>
        </w:rPr>
        <w:t>Opérations d’investissement réalisées sur le domaine public fluvial dans le cadre de l’expérimentation prévue au L. 3113-2 du CGPPP</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(cours d’eau, canaux, ports intérieurs,…)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fluvial (Etat uniquement)</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D-11)</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u w:val="thick"/>
        </w:rPr>
      </w:pPr>
      <w:r>
        <w:br w:type="page"/>
      </w:r>
      <w:r>
        <w:rPr>
          <w:b/>
          <w:u w:val="thick"/>
        </w:rPr>
        <w:t xml:space="preserve">ETAT N°2-A </w:t>
      </w:r>
      <w:r>
        <w:rPr>
          <w:b/>
        </w:rPr>
        <w:t xml:space="preserve"> ANNEE  </w:t>
      </w:r>
    </w:p>
    <w:p>
      <w:pPr>
        <w:pStyle w:val="Normal"/>
        <w:tabs>
          <w:tab w:val="left" w:pos="4820" w:leader="none"/>
          <w:tab w:val="left" w:pos="8931" w:leader="none"/>
        </w:tabs>
        <w:jc w:val="center"/>
        <w:rPr/>
      </w:pPr>
      <w:r>
        <w:rPr/>
      </w:r>
    </w:p>
    <w:p>
      <w:pPr>
        <w:pStyle w:val="Normal"/>
        <w:tabs>
          <w:tab w:val="left" w:pos="4820" w:leader="none"/>
          <w:tab w:val="left" w:pos="8931" w:leader="none"/>
        </w:tabs>
        <w:jc w:val="center"/>
        <w:rPr>
          <w:b/>
          <w:b/>
          <w:sz w:val="20"/>
          <w:u w:val="single"/>
        </w:rPr>
      </w:pPr>
      <w:r>
        <w:rPr>
          <w:b/>
          <w:sz w:val="20"/>
        </w:rPr>
        <w:t>Dépenses d’entretien</w:t>
      </w:r>
      <w:r>
        <w:rPr>
          <w:sz w:val="20"/>
        </w:rPr>
        <w:t xml:space="preserve"> </w:t>
      </w:r>
      <w:r>
        <w:rPr>
          <w:b/>
          <w:sz w:val="20"/>
          <w:u w:val="single"/>
        </w:rPr>
        <w:t>exclues de l’assiette du FCTVA</w:t>
      </w:r>
    </w:p>
    <w:p>
      <w:pPr>
        <w:pStyle w:val="Normal"/>
        <w:tabs>
          <w:tab w:val="left" w:pos="4820" w:leader="none"/>
          <w:tab w:val="left" w:pos="8931" w:leader="none"/>
        </w:tabs>
        <w:jc w:val="center"/>
        <w:rPr>
          <w:b/>
          <w:b/>
          <w:u w:val="single"/>
        </w:rPr>
      </w:pPr>
      <w:r>
        <w:rPr>
          <w:b/>
          <w:u w:val="single"/>
        </w:rPr>
      </w:r>
    </w:p>
    <w:p>
      <w:pPr>
        <w:pStyle w:val="Normal"/>
        <w:rPr/>
      </w:pPr>
      <w:r>
        <w:rPr/>
      </w:r>
    </w:p>
    <w:tbl>
      <w:tblPr>
        <w:tblpPr w:bottomFromText="0" w:horzAnchor="margin" w:leftFromText="141" w:rightFromText="141" w:tblpX="0" w:tblpXSpec="center" w:tblpY="50" w:topFromText="0" w:vertAnchor="text"/>
        <w:tblW w:w="16675" w:type="dxa"/>
        <w:jc w:val="center"/>
        <w:tblInd w:w="0" w:type="dxa"/>
        <w:tblBorders/>
        <w:tblCellMar>
          <w:top w:w="0" w:type="dxa"/>
          <w:left w:w="70" w:type="dxa"/>
          <w:bottom w:w="0" w:type="dxa"/>
          <w:right w:w="70" w:type="dxa"/>
        </w:tblCellMar>
        <w:tblLook w:val="0000"/>
      </w:tblPr>
      <w:tblGrid>
        <w:gridCol w:w="113"/>
        <w:gridCol w:w="594"/>
        <w:gridCol w:w="2622"/>
        <w:gridCol w:w="97"/>
        <w:gridCol w:w="5518"/>
        <w:gridCol w:w="72"/>
        <w:gridCol w:w="692"/>
        <w:gridCol w:w="43"/>
        <w:gridCol w:w="775"/>
        <w:gridCol w:w="1396"/>
        <w:gridCol w:w="115"/>
        <w:gridCol w:w="646"/>
        <w:gridCol w:w="81"/>
        <w:gridCol w:w="15"/>
        <w:gridCol w:w="2953"/>
        <w:gridCol w:w="942"/>
      </w:tblGrid>
      <w:tr>
        <w:trPr>
          <w:trHeight w:val="388" w:hRule="atLeast"/>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60" w:after="60"/>
              <w:rPr>
                <w:b/>
                <w:b/>
                <w:sz w:val="18"/>
              </w:rPr>
            </w:pPr>
            <w:r>
              <w:rPr>
                <w:b/>
                <w:sz w:val="18"/>
              </w:rPr>
              <w:t>Dépenses  concernant des biens mis à disposition de tiers non bénéficiaires</w:t>
            </w:r>
          </w:p>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622" w:type="dxa"/>
            <w:tcBorders>
              <w:top w:val="single" w:sz="18" w:space="0" w:color="000000"/>
              <w:left w:val="single" w:sz="18"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Tiers</w:t>
            </w:r>
          </w:p>
        </w:tc>
        <w:tc>
          <w:tcPr>
            <w:tcW w:w="6379" w:type="dxa"/>
            <w:gridSpan w:val="4"/>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Opérations</w:t>
            </w:r>
          </w:p>
        </w:tc>
        <w:tc>
          <w:tcPr>
            <w:tcW w:w="2975" w:type="dxa"/>
            <w:gridSpan w:val="5"/>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Montants</w:t>
            </w:r>
          </w:p>
        </w:tc>
        <w:tc>
          <w:tcPr>
            <w:tcW w:w="3991" w:type="dxa"/>
            <w:gridSpan w:val="4"/>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center"/>
              <w:rPr>
                <w:sz w:val="18"/>
              </w:rPr>
            </w:pPr>
            <w:r>
              <w:rPr>
                <w:sz w:val="18"/>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b/>
                <w:b/>
                <w:sz w:val="18"/>
              </w:rPr>
            </w:pPr>
            <w:r>
              <w:rPr>
                <w:b/>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ind w:left="-424" w:hanging="0"/>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b/>
                <w:b/>
                <w:sz w:val="18"/>
              </w:rPr>
            </w:pPr>
            <w:r>
              <w:rPr>
                <w:b/>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b/>
                <w:b/>
                <w:sz w:val="18"/>
              </w:rPr>
            </w:pPr>
            <w:r>
              <w:rPr>
                <w:b/>
                <w:sz w:val="18"/>
              </w:rPr>
              <w:t xml:space="preserve">Dépenses réalisés sur le patrimoine de tiers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3"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10"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tcBorders>
            <w:shd w:fill="auto" w:val="clear"/>
          </w:tcPr>
          <w:p>
            <w:pPr>
              <w:pStyle w:val="Normal"/>
              <w:jc w:val="center"/>
              <w:rPr/>
            </w:pPr>
            <w:r>
              <w:rPr/>
            </w:r>
          </w:p>
        </w:tc>
        <w:tc>
          <w:tcPr>
            <w:tcW w:w="6325" w:type="dxa"/>
            <w:gridSpan w:val="4"/>
            <w:tcBorders/>
            <w:shd w:fill="auto" w:val="clear"/>
          </w:tcPr>
          <w:p>
            <w:pPr>
              <w:pStyle w:val="Normal"/>
              <w:jc w:val="center"/>
              <w:rPr/>
            </w:pPr>
            <w:r>
              <w:rPr/>
            </w:r>
          </w:p>
        </w:tc>
        <w:tc>
          <w:tcPr>
            <w:tcW w:w="3013" w:type="dxa"/>
            <w:gridSpan w:val="5"/>
            <w:tcBorders/>
            <w:shd w:fill="auto" w:val="clear"/>
          </w:tcPr>
          <w:p>
            <w:pPr>
              <w:pStyle w:val="Normal"/>
              <w:jc w:val="center"/>
              <w:rPr/>
            </w:pPr>
            <w:r>
              <w:rPr/>
            </w:r>
          </w:p>
        </w:tc>
        <w:tc>
          <w:tcPr>
            <w:tcW w:w="3910"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4"/>
            <w:tcBorders>
              <w:bottom w:val="single" w:sz="18" w:space="0" w:color="000000"/>
              <w:insideH w:val="single" w:sz="18" w:space="0" w:color="000000"/>
            </w:tcBorders>
            <w:shd w:fill="auto" w:val="clear"/>
          </w:tcPr>
          <w:p>
            <w:pPr>
              <w:pStyle w:val="Normal"/>
              <w:jc w:val="center"/>
              <w:rPr/>
            </w:pPr>
            <w:r>
              <w:rPr/>
            </w:r>
          </w:p>
        </w:tc>
        <w:tc>
          <w:tcPr>
            <w:tcW w:w="3013" w:type="dxa"/>
            <w:gridSpan w:val="5"/>
            <w:tcBorders>
              <w:bottom w:val="single" w:sz="18" w:space="0" w:color="000000"/>
              <w:insideH w:val="single" w:sz="18" w:space="0" w:color="000000"/>
            </w:tcBorders>
            <w:shd w:fill="auto" w:val="clear"/>
          </w:tcPr>
          <w:p>
            <w:pPr>
              <w:pStyle w:val="Normal"/>
              <w:jc w:val="center"/>
              <w:rPr/>
            </w:pPr>
            <w:r>
              <w:rPr/>
            </w:r>
          </w:p>
        </w:tc>
        <w:tc>
          <w:tcPr>
            <w:tcW w:w="3910"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trHeight w:val="93" w:hRule="atLeast"/>
          <w:cantSplit w:val="true"/>
        </w:trPr>
        <w:tc>
          <w:tcPr>
            <w:tcW w:w="8944" w:type="dxa"/>
            <w:gridSpan w:val="5"/>
            <w:tcBorders/>
            <w:shd w:fill="auto" w:val="clear"/>
          </w:tcPr>
          <w:p>
            <w:pPr>
              <w:pStyle w:val="Normal"/>
              <w:ind w:right="354" w:hanging="0"/>
              <w:rPr>
                <w:sz w:val="20"/>
              </w:rPr>
            </w:pPr>
            <w:r>
              <w:rPr>
                <w:sz w:val="20"/>
              </w:rPr>
            </w:r>
          </w:p>
          <w:p>
            <w:pPr>
              <w:pStyle w:val="Normal"/>
              <w:ind w:right="354" w:hanging="0"/>
              <w:rPr>
                <w:sz w:val="20"/>
              </w:rPr>
            </w:pPr>
            <w:r>
              <w:rPr>
                <w:sz w:val="20"/>
              </w:rPr>
            </w:r>
          </w:p>
          <w:p>
            <w:pPr>
              <w:pStyle w:val="Normal"/>
              <w:ind w:right="354" w:hanging="0"/>
              <w:rPr>
                <w:sz w:val="20"/>
              </w:rPr>
            </w:pPr>
            <w:r>
              <w:rPr>
                <w:sz w:val="20"/>
              </w:rPr>
              <w:t xml:space="preserve">Cachet de la collectivité </w:t>
            </w:r>
          </w:p>
        </w:tc>
        <w:tc>
          <w:tcPr>
            <w:tcW w:w="1582" w:type="dxa"/>
            <w:gridSpan w:val="4"/>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0" w:type="dxa"/>
            <w:gridSpan w:val="5"/>
            <w:tcBorders/>
            <w:shd w:fill="auto" w:val="clear"/>
          </w:tcPr>
          <w:p>
            <w:pPr>
              <w:pStyle w:val="Normal"/>
              <w:ind w:firstLine="153"/>
              <w:rPr>
                <w:sz w:val="20"/>
              </w:rPr>
            </w:pPr>
            <w:r>
              <w:rPr>
                <w:sz w:val="20"/>
              </w:rPr>
              <w:t xml:space="preserve"> </w:t>
            </w:r>
            <w:r>
              <w:rPr>
                <w:sz w:val="20"/>
              </w:rPr>
              <w:t>Certifié exact</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Fait à                        le</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B </w:t>
            </w:r>
          </w:p>
        </w:tc>
        <w:tc>
          <w:tcPr>
            <w:tcW w:w="3021" w:type="dxa"/>
            <w:gridSpan w:val="5"/>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Le maire ou le président,</w:t>
            </w:r>
          </w:p>
        </w:tc>
        <w:tc>
          <w:tcPr>
            <w:tcW w:w="942" w:type="dxa"/>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b/>
          <w:b/>
          <w:u w:val="thick"/>
        </w:rPr>
      </w:pPr>
      <w:r>
        <w:rPr>
          <w:b/>
          <w:u w:val="thick"/>
        </w:rPr>
        <w:t xml:space="preserve">ETAT N°2-B </w:t>
      </w:r>
      <w:r>
        <w:rPr>
          <w:b/>
        </w:rPr>
        <w:t xml:space="preserve"> ANNEE  </w:t>
      </w:r>
    </w:p>
    <w:p>
      <w:pPr>
        <w:pStyle w:val="Normal"/>
        <w:tabs>
          <w:tab w:val="left" w:pos="4820" w:leader="none"/>
          <w:tab w:val="left" w:pos="8931" w:leader="none"/>
        </w:tabs>
        <w:jc w:val="center"/>
        <w:rPr/>
      </w:pPr>
      <w:r>
        <w:rPr/>
      </w:r>
    </w:p>
    <w:p>
      <w:pPr>
        <w:pStyle w:val="Normal"/>
        <w:tabs>
          <w:tab w:val="left" w:pos="4820" w:leader="none"/>
          <w:tab w:val="left" w:pos="8931" w:leader="none"/>
        </w:tabs>
        <w:jc w:val="center"/>
        <w:rPr>
          <w:b/>
          <w:b/>
          <w:sz w:val="20"/>
          <w:u w:val="single"/>
        </w:rPr>
      </w:pPr>
      <w:r>
        <w:rPr>
          <w:b/>
          <w:sz w:val="20"/>
        </w:rPr>
        <w:t>Dépenses d’investissement réalisées</w:t>
      </w:r>
      <w:r>
        <w:rPr>
          <w:sz w:val="20"/>
        </w:rPr>
        <w:t xml:space="preserve"> </w:t>
      </w:r>
      <w:r>
        <w:rPr>
          <w:b/>
          <w:sz w:val="20"/>
          <w:u w:val="single"/>
        </w:rPr>
        <w:t>exclues du FCTVA</w:t>
      </w:r>
    </w:p>
    <w:p>
      <w:pPr>
        <w:pStyle w:val="Normal"/>
        <w:tabs>
          <w:tab w:val="left" w:pos="4820" w:leader="none"/>
          <w:tab w:val="left" w:pos="8931" w:leader="none"/>
        </w:tabs>
        <w:jc w:val="center"/>
        <w:rPr>
          <w:b/>
          <w:b/>
          <w:u w:val="single"/>
        </w:rPr>
      </w:pPr>
      <w:r>
        <w:rPr>
          <w:b/>
          <w:u w:val="single"/>
        </w:rPr>
      </w:r>
    </w:p>
    <w:p>
      <w:pPr>
        <w:pStyle w:val="Normal"/>
        <w:tabs>
          <w:tab w:val="left" w:pos="4820" w:leader="none"/>
          <w:tab w:val="left" w:pos="8931" w:leader="none"/>
        </w:tabs>
        <w:jc w:val="center"/>
        <w:rPr>
          <w:b/>
          <w:b/>
          <w:u w:val="single"/>
        </w:rPr>
      </w:pPr>
      <w:r>
        <w:rPr>
          <w:b/>
          <w:u w:val="single"/>
        </w:rPr>
      </w:r>
    </w:p>
    <w:p>
      <w:pPr>
        <w:pStyle w:val="Normal"/>
        <w:tabs>
          <w:tab w:val="left" w:pos="4820" w:leader="none"/>
          <w:tab w:val="left" w:pos="8931" w:leader="none"/>
        </w:tabs>
        <w:jc w:val="center"/>
        <w:rPr>
          <w:b/>
          <w:b/>
          <w:u w:val="single"/>
        </w:rPr>
      </w:pPr>
      <w:r>
        <w:rPr>
          <w:b/>
          <w:u w:val="single"/>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47"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60" w:after="60"/>
              <w:jc w:val="center"/>
              <w:rPr>
                <w:sz w:val="18"/>
              </w:rPr>
            </w:pPr>
            <w:r>
              <w:rPr>
                <w:sz w:val="18"/>
              </w:rPr>
              <w:t xml:space="preserve">Dépenses d’investissement concernant des biens mis à disposition de tiers non bénéficiaires du FCTVA : </w:t>
            </w:r>
          </w:p>
          <w:p>
            <w:pPr>
              <w:pStyle w:val="Normal"/>
              <w:spacing w:before="0" w:after="120"/>
              <w:jc w:val="center"/>
              <w:rPr>
                <w:sz w:val="18"/>
              </w:rPr>
            </w:pPr>
            <w:r>
              <w:rPr>
                <w:sz w:val="18"/>
              </w:rPr>
              <w:t>pour les dépenses sur des biens confiés à des tiers dans les cas non prévus aux a, b, c de L.1615-7 du CGCT</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tabs>
                <w:tab w:val="left" w:pos="4466" w:leader="none"/>
              </w:tabs>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47"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 xml:space="preserve">Dépenses d’investissement de voirie réalisées par un groupement de collectivités compétent en la matière </w:t>
            </w:r>
          </w:p>
          <w:p>
            <w:pPr>
              <w:pStyle w:val="Normal"/>
              <w:jc w:val="center"/>
              <w:rPr>
                <w:sz w:val="18"/>
              </w:rPr>
            </w:pPr>
            <w:r>
              <w:rPr>
                <w:sz w:val="18"/>
              </w:rPr>
              <w:t>ayant fait l'objet d'une réintégration par une opération d'ordre budgétaire au compte administratif de la collectivité</w:t>
            </w:r>
          </w:p>
          <w:p>
            <w:pPr>
              <w:pStyle w:val="Normal"/>
              <w:spacing w:before="120" w:after="120"/>
              <w:jc w:val="center"/>
              <w:rPr>
                <w:sz w:val="18"/>
              </w:rPr>
            </w:pPr>
            <w:r>
              <w:rPr>
                <w:sz w:val="18"/>
              </w:rPr>
              <w:t xml:space="preserve">Le groupement bénéficie directement d'une attribution du FCTVA au titre de ces dépenses </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7"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47" w:type="dxa"/>
          <w:bottom w:w="0" w:type="dxa"/>
          <w:right w:w="70" w:type="dxa"/>
        </w:tblCellMar>
        <w:tblLook w:val="0000"/>
      </w:tblPr>
      <w:tblGrid>
        <w:gridCol w:w="4572"/>
        <w:gridCol w:w="4572"/>
        <w:gridCol w:w="3119"/>
        <w:gridCol w:w="3683"/>
      </w:tblGrid>
      <w:tr>
        <w:trPr>
          <w:cantSplit w:val="true"/>
        </w:trPr>
        <w:tc>
          <w:tcPr>
            <w:tcW w:w="15946"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Dépenses de voirie réalisées par une autre collectivité ayant fait l’objet d’une réintégration par une opération d’ordre budgétaire au compte administratif de la collectivité bénéficiaire</w:t>
            </w:r>
          </w:p>
          <w:p>
            <w:pPr>
              <w:pStyle w:val="Normal"/>
              <w:spacing w:before="0" w:after="120"/>
              <w:jc w:val="center"/>
              <w:rPr>
                <w:sz w:val="18"/>
              </w:rPr>
            </w:pPr>
            <w:r>
              <w:rPr>
                <w:sz w:val="18"/>
              </w:rPr>
              <w:t>(article L. 1615-2 du CGCT)</w:t>
            </w:r>
          </w:p>
        </w:tc>
      </w:tr>
      <w:tr>
        <w:trPr>
          <w:cantSplit w:val="true"/>
        </w:trPr>
        <w:tc>
          <w:tcPr>
            <w:tcW w:w="4572" w:type="dxa"/>
            <w:tcBorders>
              <w:top w:val="single" w:sz="6" w:space="0" w:color="000000"/>
              <w:left w:val="single" w:sz="18"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spacing w:before="120" w:after="120"/>
              <w:jc w:val="center"/>
              <w:rPr>
                <w:sz w:val="20"/>
              </w:rPr>
            </w:pPr>
            <w:r>
              <w:rPr>
                <w:sz w:val="20"/>
              </w:rPr>
              <w:t>Nom de la collectivité territoriale ou du groupement ayant réalisé les travaux</w:t>
            </w:r>
          </w:p>
        </w:tc>
        <w:tc>
          <w:tcPr>
            <w:tcW w:w="4572"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Nature de l’opération et lieu</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3"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4572" w:type="dxa"/>
            <w:tcBorders>
              <w:left w:val="single" w:sz="18" w:space="0" w:color="000000"/>
              <w:right w:val="single" w:sz="4" w:space="0" w:color="000000"/>
              <w:insideV w:val="single" w:sz="4" w:space="0" w:color="000000"/>
            </w:tcBorders>
            <w:shd w:fill="auto" w:val="clear"/>
          </w:tcPr>
          <w:p>
            <w:pPr>
              <w:pStyle w:val="Normal"/>
              <w:jc w:val="center"/>
              <w:rPr/>
            </w:pPr>
            <w:r>
              <w:rPr/>
            </w:r>
          </w:p>
        </w:tc>
        <w:tc>
          <w:tcPr>
            <w:tcW w:w="4572" w:type="dxa"/>
            <w:tcBorders/>
            <w:shd w:fill="auto" w:val="clear"/>
          </w:tcPr>
          <w:p>
            <w:pPr>
              <w:pStyle w:val="Normal"/>
              <w:jc w:val="center"/>
              <w:rPr/>
            </w:pPr>
            <w:r>
              <w:rPr/>
            </w:r>
          </w:p>
        </w:tc>
        <w:tc>
          <w:tcPr>
            <w:tcW w:w="3119" w:type="dxa"/>
            <w:tcBorders/>
            <w:shd w:fill="auto" w:val="clear"/>
          </w:tcPr>
          <w:p>
            <w:pPr>
              <w:pStyle w:val="Normal"/>
              <w:jc w:val="center"/>
              <w:rPr/>
            </w:pPr>
            <w:r>
              <w:rPr/>
            </w:r>
          </w:p>
        </w:tc>
        <w:tc>
          <w:tcPr>
            <w:tcW w:w="3683"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4572" w:type="dxa"/>
            <w:tcBorders>
              <w:left w:val="single" w:sz="18" w:space="0" w:color="000000"/>
              <w:bottom w:val="single" w:sz="18" w:space="0" w:color="000000"/>
              <w:right w:val="single" w:sz="4" w:space="0" w:color="000000"/>
              <w:insideH w:val="single" w:sz="18" w:space="0" w:color="000000"/>
              <w:insideV w:val="single" w:sz="4" w:space="0" w:color="000000"/>
            </w:tcBorders>
            <w:shd w:fill="auto" w:val="clear"/>
          </w:tcPr>
          <w:p>
            <w:pPr>
              <w:pStyle w:val="Normal"/>
              <w:jc w:val="center"/>
              <w:rPr/>
            </w:pPr>
            <w:r>
              <w:rPr/>
            </w:r>
          </w:p>
        </w:tc>
        <w:tc>
          <w:tcPr>
            <w:tcW w:w="4572" w:type="dxa"/>
            <w:tcBorders>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3"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jc w:val="right"/>
        <w:rPr>
          <w:sz w:val="20"/>
        </w:rPr>
      </w:pPr>
      <w:r>
        <w:rPr>
          <w:sz w:val="20"/>
        </w:rPr>
        <w:t>Voir page suivante</w:t>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47"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vAlign w:val="center"/>
          </w:tcPr>
          <w:p>
            <w:pPr>
              <w:pStyle w:val="Normal"/>
              <w:spacing w:before="120" w:after="0"/>
              <w:jc w:val="center"/>
              <w:rPr>
                <w:sz w:val="18"/>
              </w:rPr>
            </w:pPr>
            <w:r>
              <w:rPr>
                <w:sz w:val="18"/>
              </w:rPr>
              <w:t>Opérations d’investissement concernant l'enseignement supérieur, n'ayant pas fait l'objet d'une maîtrise d'ouvrage conformément aux dispositions de l'article 211-7 du code de l’éducation</w:t>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blBorders>
        <w:tblCellMar>
          <w:top w:w="0" w:type="dxa"/>
          <w:left w:w="47"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18"/>
              </w:rPr>
            </w:pPr>
            <w:r>
              <w:rPr>
                <w:sz w:val="18"/>
              </w:rPr>
              <w:t>Avances et acomptes versés sur commandes d'immobilisations (comptes 237 ou 238 « avances et acomptes »)</w:t>
            </w:r>
          </w:p>
          <w:p>
            <w:pPr>
              <w:pStyle w:val="Normal"/>
              <w:spacing w:before="0" w:after="120"/>
              <w:jc w:val="center"/>
              <w:rPr>
                <w:sz w:val="18"/>
              </w:rPr>
            </w:pPr>
            <w:r>
              <w:rPr>
                <w:sz w:val="18"/>
              </w:rPr>
              <w:t>Elles ne sont pas éligibles au FCTVA car l'enrichissement du patrimoine n'est pas certain, il s'agit d'une prévision et d'une dérogation à la règle du service fait.</w:t>
            </w:r>
          </w:p>
        </w:tc>
      </w:tr>
      <w:tr>
        <w:trPr>
          <w:cantSplit w:val="true"/>
        </w:trPr>
        <w:tc>
          <w:tcPr>
            <w:tcW w:w="9141" w:type="dxa"/>
            <w:tcBorders>
              <w:top w:val="single" w:sz="4"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47"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120"/>
              <w:jc w:val="center"/>
              <w:rPr>
                <w:sz w:val="18"/>
              </w:rPr>
            </w:pPr>
            <w:r>
              <w:rPr>
                <w:sz w:val="18"/>
              </w:rPr>
              <w:t>Subventions d’investissement pour la réalisation de dépenses d’investissement sur le domaine public routier (article L. 1615-2 du CGCT)</w:t>
            </w:r>
          </w:p>
          <w:p>
            <w:pPr>
              <w:pStyle w:val="Normal"/>
              <w:spacing w:before="120" w:after="120"/>
              <w:jc w:val="center"/>
              <w:rPr>
                <w:sz w:val="18"/>
              </w:rPr>
            </w:pPr>
            <w:r>
              <w:rPr>
                <w:sz w:val="18"/>
              </w:rPr>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 et nom de la collectivité versant le fonds de concours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sz w:val="20"/>
        </w:rPr>
      </w:pPr>
      <w:r>
        <w:rPr>
          <w:sz w:val="20"/>
        </w:rPr>
        <w:t>Voir page suivante</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6675" w:type="dxa"/>
        <w:jc w:val="center"/>
        <w:tblInd w:w="0" w:type="dxa"/>
        <w:tblBorders/>
        <w:tblCellMar>
          <w:top w:w="0" w:type="dxa"/>
          <w:left w:w="70" w:type="dxa"/>
          <w:bottom w:w="0" w:type="dxa"/>
          <w:right w:w="70" w:type="dxa"/>
        </w:tblCellMar>
        <w:tblLook w:val="0000"/>
      </w:tblPr>
      <w:tblGrid>
        <w:gridCol w:w="113"/>
        <w:gridCol w:w="594"/>
        <w:gridCol w:w="2719"/>
        <w:gridCol w:w="5518"/>
        <w:gridCol w:w="72"/>
        <w:gridCol w:w="735"/>
        <w:gridCol w:w="775"/>
        <w:gridCol w:w="1396"/>
        <w:gridCol w:w="115"/>
        <w:gridCol w:w="729"/>
        <w:gridCol w:w="13"/>
        <w:gridCol w:w="2953"/>
        <w:gridCol w:w="2"/>
        <w:gridCol w:w="940"/>
      </w:tblGrid>
      <w:tr>
        <w:trPr>
          <w:trHeight w:val="298" w:hRule="atLeast"/>
          <w:cantSplit w:val="true"/>
        </w:trPr>
        <w:tc>
          <w:tcPr>
            <w:tcW w:w="113" w:type="dxa"/>
            <w:tcBorders/>
            <w:shd w:fill="auto" w:val="clear"/>
          </w:tcPr>
          <w:p>
            <w:pPr>
              <w:pStyle w:val="Normal"/>
              <w:jc w:val="right"/>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thinThickSmallGap" w:sz="24" w:space="0" w:color="000000"/>
              <w:right w:val="single" w:sz="18" w:space="0" w:color="000000"/>
              <w:insideH w:val="thinThickSmallGap" w:sz="24" w:space="0" w:color="000000"/>
              <w:insideV w:val="single" w:sz="18" w:space="0" w:color="000000"/>
            </w:tcBorders>
            <w:shd w:fill="auto" w:val="clear"/>
          </w:tcPr>
          <w:p>
            <w:pPr>
              <w:pStyle w:val="Normal"/>
              <w:spacing w:before="120" w:after="120"/>
              <w:jc w:val="center"/>
              <w:rPr>
                <w:b/>
                <w:b/>
                <w:sz w:val="20"/>
              </w:rPr>
            </w:pPr>
            <w:r>
              <w:rPr>
                <w:b/>
                <w:sz w:val="20"/>
              </w:rPr>
              <w:t xml:space="preserve">Dépenses d’investissement exclues de l'assiette du FCTVA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sz w:val="18"/>
              </w:rPr>
            </w:pPr>
            <w:r>
              <w:rPr>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sz w:val="18"/>
              </w:rPr>
            </w:pPr>
            <w:r>
              <w:rPr>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réalisés sur le patrimoine de tiers (hors ceux bénéficiant des dérogations de l’article L.1615-2 du CGCT)</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concernant les biens concédés ou affermés dans les conditions prévues par l'article 210 de l’annexe II du code général des impôts (transfert du droit à déduction)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Délégataire</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single" w:sz="8" w:space="0" w:color="000000"/>
              <w:right w:val="single" w:sz="18" w:space="0" w:color="000000"/>
              <w:insideH w:val="single" w:sz="8" w:space="0" w:color="000000"/>
              <w:insideV w:val="single" w:sz="18" w:space="0" w:color="000000"/>
            </w:tcBorders>
            <w:shd w:fill="auto" w:val="clear"/>
          </w:tcPr>
          <w:p>
            <w:pPr>
              <w:pStyle w:val="Normal"/>
              <w:tabs>
                <w:tab w:val="left" w:pos="543" w:leader="none"/>
              </w:tabs>
              <w:spacing w:before="100" w:after="100"/>
              <w:rPr>
                <w:sz w:val="18"/>
                <w:highlight w:val="yellow"/>
              </w:rPr>
            </w:pPr>
            <w:r>
              <w:rPr>
                <w:sz w:val="18"/>
              </w:rPr>
              <w:t>Dépenses d’acquisition de manuels scolaires réalisées par les régions, imputées en section d’investissement par dérogation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rPr>
              <w:t>Opérations</w:t>
            </w:r>
          </w:p>
        </w:tc>
        <w:tc>
          <w:tcPr>
            <w:tcW w:w="30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rPr>
              <w:t>Montants</w:t>
            </w:r>
          </w:p>
        </w:tc>
        <w:tc>
          <w:tcPr>
            <w:tcW w:w="3908" w:type="dxa"/>
            <w:gridSpan w:val="4"/>
            <w:tcBorders>
              <w:top w:val="single" w:sz="8" w:space="0" w:color="000000"/>
              <w:left w:val="single" w:sz="8" w:space="0" w:color="000000"/>
              <w:bottom w:val="single" w:sz="8" w:space="0" w:color="000000"/>
              <w:right w:val="single" w:sz="18" w:space="0" w:color="000000"/>
              <w:insideH w:val="single" w:sz="8" w:space="0" w:color="000000"/>
              <w:insideV w:val="single" w:sz="18" w:space="0" w:color="000000"/>
            </w:tcBorders>
            <w:shd w:fill="auto" w:val="clear"/>
          </w:tcPr>
          <w:p>
            <w:pPr>
              <w:pStyle w:val="Normal"/>
              <w:spacing w:before="100" w:after="100"/>
              <w:jc w:val="center"/>
              <w:rPr>
                <w:sz w:val="18"/>
                <w:highlight w:val="yellow"/>
              </w:rPr>
            </w:pPr>
            <w:r>
              <w:rPr>
                <w:sz w:val="18"/>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18" w:space="0" w:color="000000"/>
              <w:right w:val="single" w:sz="8" w:space="0" w:color="000000"/>
              <w:insideH w:val="single" w:sz="18" w:space="0" w:color="000000"/>
              <w:insideV w:val="single" w:sz="8" w:space="0" w:color="000000"/>
            </w:tcBorders>
            <w:shd w:fill="auto" w:val="clear"/>
          </w:tcPr>
          <w:p>
            <w:pPr>
              <w:pStyle w:val="Normal"/>
              <w:rPr/>
            </w:pPr>
            <w:r>
              <w:rPr/>
            </w:r>
          </w:p>
          <w:p>
            <w:pPr>
              <w:pStyle w:val="Normal"/>
              <w:jc w:val="center"/>
              <w:rPr/>
            </w:pPr>
            <w:r>
              <w:rPr/>
            </w:r>
          </w:p>
        </w:tc>
        <w:tc>
          <w:tcPr>
            <w:tcW w:w="3015" w:type="dxa"/>
            <w:gridSpan w:val="4"/>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jc w:val="center"/>
              <w:rPr/>
            </w:pPr>
            <w:r>
              <w:rPr/>
            </w:r>
          </w:p>
        </w:tc>
        <w:tc>
          <w:tcPr>
            <w:tcW w:w="3908" w:type="dxa"/>
            <w:gridSpan w:val="4"/>
            <w:tcBorders>
              <w:top w:val="single" w:sz="8" w:space="0" w:color="000000"/>
              <w:left w:val="single" w:sz="8" w:space="0" w:color="000000"/>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trHeight w:val="93" w:hRule="atLeast"/>
          <w:cantSplit w:val="true"/>
        </w:trPr>
        <w:tc>
          <w:tcPr>
            <w:tcW w:w="8944" w:type="dxa"/>
            <w:gridSpan w:val="4"/>
            <w:tcBorders/>
            <w:shd w:fill="auto" w:val="clear"/>
          </w:tcPr>
          <w:p>
            <w:pPr>
              <w:pStyle w:val="Normal"/>
              <w:ind w:right="354" w:hanging="0"/>
              <w:rPr>
                <w:sz w:val="20"/>
              </w:rPr>
            </w:pPr>
            <w:r>
              <w:rPr>
                <w:sz w:val="20"/>
              </w:rPr>
              <w:t xml:space="preserve">Cachet de la collectivité </w:t>
            </w:r>
          </w:p>
        </w:tc>
        <w:tc>
          <w:tcPr>
            <w:tcW w:w="1582" w:type="dxa"/>
            <w:gridSpan w:val="3"/>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2" w:type="dxa"/>
            <w:gridSpan w:val="5"/>
            <w:tcBorders/>
            <w:shd w:fill="auto" w:val="clear"/>
          </w:tcPr>
          <w:p>
            <w:pPr>
              <w:pStyle w:val="Normal"/>
              <w:ind w:firstLine="153"/>
              <w:rPr>
                <w:sz w:val="20"/>
              </w:rPr>
            </w:pPr>
            <w:r>
              <w:rPr>
                <w:sz w:val="20"/>
              </w:rPr>
              <w:t xml:space="preserve"> </w:t>
            </w:r>
            <w:r>
              <w:rPr>
                <w:sz w:val="20"/>
              </w:rPr>
              <w:t>Certifié exact</w:t>
            </w:r>
          </w:p>
        </w:tc>
        <w:tc>
          <w:tcPr>
            <w:tcW w:w="940"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Fait à                        le</w:t>
            </w:r>
          </w:p>
        </w:tc>
        <w:tc>
          <w:tcPr>
            <w:tcW w:w="942" w:type="dxa"/>
            <w:gridSpan w:val="2"/>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E </w:t>
            </w:r>
          </w:p>
        </w:tc>
        <w:tc>
          <w:tcPr>
            <w:tcW w:w="3021" w:type="dxa"/>
            <w:gridSpan w:val="4"/>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Le maire ou le président,</w:t>
            </w:r>
          </w:p>
        </w:tc>
        <w:tc>
          <w:tcPr>
            <w:tcW w:w="942" w:type="dxa"/>
            <w:gridSpan w:val="2"/>
            <w:tcBorders/>
            <w:shd w:fill="auto" w:val="clear"/>
          </w:tcPr>
          <w:p>
            <w:pPr>
              <w:pStyle w:val="Normal"/>
              <w:rPr/>
            </w:pPr>
            <w:r>
              <w:rPr/>
            </w:r>
          </w:p>
        </w:tc>
      </w:tr>
    </w:tbl>
    <w:p>
      <w:pPr>
        <w:pStyle w:val="Normal"/>
        <w:rPr>
          <w:b/>
          <w:b/>
        </w:rPr>
      </w:pPr>
      <w:r>
        <w:br w:type="page"/>
      </w:r>
      <w:r>
        <w:rPr>
          <w:b/>
          <w:u w:val="single"/>
        </w:rPr>
        <w:t xml:space="preserve">ETAT N°3 </w:t>
      </w:r>
      <w:r>
        <w:rPr>
          <w:b/>
        </w:rPr>
        <w:t xml:space="preserve">- ANNEE </w:t>
      </w:r>
    </w:p>
    <w:p>
      <w:pPr>
        <w:pStyle w:val="Normal"/>
        <w:jc w:val="center"/>
        <w:rPr/>
      </w:pPr>
      <w:r>
        <w:rPr/>
      </w:r>
    </w:p>
    <w:p>
      <w:pPr>
        <w:pStyle w:val="Normal"/>
        <w:jc w:val="center"/>
        <w:rPr>
          <w:sz w:val="20"/>
        </w:rPr>
      </w:pPr>
      <w:r>
        <w:rPr>
          <w:sz w:val="20"/>
        </w:rPr>
        <w:t xml:space="preserve">Subventions d’investissement spécifiques de l'Etat perçues par la collectivité en </w:t>
      </w:r>
    </w:p>
    <w:p>
      <w:pPr>
        <w:pStyle w:val="Normal"/>
        <w:rPr/>
      </w:pPr>
      <w:r>
        <w:rPr/>
      </w:r>
    </w:p>
    <w:tbl>
      <w:tblPr>
        <w:tblW w:w="15805"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62" w:type="dxa"/>
          <w:bottom w:w="0" w:type="dxa"/>
          <w:right w:w="70" w:type="dxa"/>
        </w:tblCellMar>
        <w:tblLook w:val="0000"/>
      </w:tblPr>
      <w:tblGrid>
        <w:gridCol w:w="5315"/>
        <w:gridCol w:w="7068"/>
        <w:gridCol w:w="1327"/>
        <w:gridCol w:w="2095"/>
      </w:tblGrid>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Partie versante</w:t>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Objet de la subvention</w:t>
            </w:r>
          </w:p>
          <w:p>
            <w:pPr>
              <w:pStyle w:val="Normal"/>
              <w:spacing w:before="120" w:after="120"/>
              <w:jc w:val="center"/>
              <w:rPr>
                <w:sz w:val="18"/>
              </w:rPr>
            </w:pPr>
            <w:r>
              <w:rPr>
                <w:sz w:val="18"/>
              </w:rPr>
              <w:t>Détail de l'opération subventionnée</w:t>
            </w:r>
          </w:p>
        </w:tc>
        <w:tc>
          <w:tcPr>
            <w:tcW w:w="209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w:t>
            </w:r>
          </w:p>
          <w:p>
            <w:pPr>
              <w:pStyle w:val="Normal"/>
              <w:spacing w:before="120" w:after="120"/>
              <w:jc w:val="center"/>
              <w:rPr>
                <w:sz w:val="18"/>
              </w:rPr>
            </w:pPr>
            <w:r>
              <w:rPr>
                <w:sz w:val="18"/>
              </w:rPr>
              <w:t>(HT ou TTC)</w:t>
            </w:r>
            <w:r>
              <w:rPr>
                <w:b/>
                <w:sz w:val="18"/>
              </w:rPr>
              <w:t>*</w:t>
            </w:r>
          </w:p>
        </w:tc>
      </w:tr>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9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Ministère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chapitre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Fonds</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12383" w:type="dxa"/>
            <w:gridSpan w:val="2"/>
            <w:tcBorders>
              <w:top w:val="single" w:sz="6" w:space="0" w:color="000000"/>
              <w:right w:val="single" w:sz="6" w:space="0" w:color="000000"/>
              <w:insideV w:val="single" w:sz="6" w:space="0" w:color="000000"/>
            </w:tcBorders>
            <w:shd w:fill="auto" w:val="clear"/>
          </w:tcPr>
          <w:p>
            <w:pPr>
              <w:pStyle w:val="Normal"/>
              <w:spacing w:before="120" w:after="0"/>
              <w:ind w:right="124" w:hanging="0"/>
              <w:rPr>
                <w:sz w:val="16"/>
              </w:rPr>
            </w:pPr>
            <w:r>
              <w:rPr>
                <w:b/>
                <w:sz w:val="16"/>
              </w:rPr>
              <w:t>*</w:t>
            </w:r>
            <w:r>
              <w:rPr>
                <w:sz w:val="16"/>
              </w:rPr>
              <w:t xml:space="preserve"> Les subventions calculées sur la base d'un forfait sont considérées TTC</w:t>
            </w:r>
          </w:p>
        </w:tc>
        <w:tc>
          <w:tcPr>
            <w:tcW w:w="13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right="124" w:hanging="0"/>
              <w:jc w:val="center"/>
              <w:rPr/>
            </w:pPr>
            <w:r>
              <w:rPr/>
              <w:t>Total</w:t>
            </w:r>
          </w:p>
        </w:tc>
        <w:tc>
          <w:tcPr>
            <w:tcW w:w="2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right"/>
              <w:rPr>
                <w:sz w:val="16"/>
              </w:rPr>
            </w:pPr>
            <w:r>
              <w:rPr>
                <w:sz w:val="16"/>
              </w:rPr>
            </w:r>
          </w:p>
        </w:tc>
      </w:tr>
    </w:tbl>
    <w:p>
      <w:pPr>
        <w:pStyle w:val="Normal"/>
        <w:rPr/>
      </w:pPr>
      <w:r>
        <w:rPr/>
      </w:r>
    </w:p>
    <w:p>
      <w:pPr>
        <w:pStyle w:val="Normal"/>
        <w:rPr>
          <w:sz w:val="20"/>
        </w:rPr>
      </w:pPr>
      <w:r>
        <w:rPr>
          <w:sz w:val="20"/>
        </w:rPr>
        <w:t xml:space="preserve">Du montant total des subventions spécifiques versées par l'Etat, isoler le montant total de celles calculées TTC : </w:t>
      </w:r>
    </w:p>
    <w:p>
      <w:pPr>
        <w:pStyle w:val="Normal"/>
        <w:rPr/>
      </w:pPr>
      <w:r>
        <w:rPr/>
      </w:r>
    </w:p>
    <w:tbl>
      <w:tblPr>
        <w:tblW w:w="15289" w:type="dxa"/>
        <w:jc w:val="center"/>
        <w:tblInd w:w="0" w:type="dxa"/>
        <w:tblBorders/>
        <w:tblCellMar>
          <w:top w:w="0" w:type="dxa"/>
          <w:left w:w="70" w:type="dxa"/>
          <w:bottom w:w="0" w:type="dxa"/>
          <w:right w:w="70" w:type="dxa"/>
        </w:tblCellMar>
        <w:tblLook w:val="0000"/>
      </w:tblPr>
      <w:tblGrid>
        <w:gridCol w:w="9141"/>
        <w:gridCol w:w="3027"/>
        <w:gridCol w:w="3121"/>
      </w:tblGrid>
      <w:tr>
        <w:trPr>
          <w:cantSplit w:val="true"/>
        </w:trPr>
        <w:tc>
          <w:tcPr>
            <w:tcW w:w="9141" w:type="dxa"/>
            <w:tcBorders/>
            <w:shd w:fill="auto" w:val="clear"/>
          </w:tcPr>
          <w:p>
            <w:pPr>
              <w:pStyle w:val="Normal"/>
              <w:ind w:right="20" w:hanging="0"/>
              <w:jc w:val="right"/>
              <w:rPr>
                <w:sz w:val="20"/>
              </w:rPr>
            </w:pPr>
            <w:r>
              <w:rPr>
                <w:sz w:val="20"/>
              </w:rPr>
              <w:t xml:space="preserve">TOTAL DES SUBVENTIONS D'ETAT TTC </w:t>
            </w:r>
          </w:p>
        </w:tc>
        <w:tc>
          <w:tcPr>
            <w:tcW w:w="3027" w:type="dxa"/>
            <w:tcBorders>
              <w:top w:val="single" w:sz="6" w:space="0" w:color="000000"/>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Certifié exact</w:t>
            </w:r>
          </w:p>
        </w:tc>
      </w:tr>
      <w:tr>
        <w:trPr>
          <w:cantSplit w:val="true"/>
        </w:trPr>
        <w:tc>
          <w:tcPr>
            <w:tcW w:w="9141" w:type="dxa"/>
            <w:tcBorders/>
            <w:shd w:fill="auto" w:val="clear"/>
          </w:tcPr>
          <w:p>
            <w:pPr>
              <w:pStyle w:val="Normal"/>
              <w:ind w:right="20" w:hanging="0"/>
              <w:jc w:val="right"/>
              <w:rPr>
                <w:sz w:val="20"/>
              </w:rPr>
            </w:pPr>
            <w:r>
              <w:rPr>
                <w:sz w:val="20"/>
              </w:rPr>
              <w:t xml:space="preserve">A reporter sur l'état consolidé Partie E </w:t>
            </w:r>
          </w:p>
        </w:tc>
        <w:tc>
          <w:tcPr>
            <w:tcW w:w="3027" w:type="dxa"/>
            <w:tcBorders>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Fait à                        le</w:t>
            </w:r>
          </w:p>
        </w:tc>
      </w:tr>
      <w:tr>
        <w:trPr>
          <w:cantSplit w:val="true"/>
        </w:trPr>
        <w:tc>
          <w:tcPr>
            <w:tcW w:w="9141" w:type="dxa"/>
            <w:tcBorders/>
            <w:shd w:fill="auto" w:val="clear"/>
          </w:tcPr>
          <w:p>
            <w:pPr>
              <w:pStyle w:val="Normal"/>
              <w:rPr>
                <w:sz w:val="20"/>
              </w:rPr>
            </w:pPr>
            <w:r>
              <w:rPr>
                <w:sz w:val="20"/>
              </w:rPr>
              <w:t>Cachet de la collectivité</w:t>
            </w:r>
          </w:p>
        </w:tc>
        <w:tc>
          <w:tcPr>
            <w:tcW w:w="302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Le maire ou le président,</w:t>
            </w:r>
          </w:p>
        </w:tc>
      </w:tr>
    </w:tbl>
    <w:p>
      <w:pPr>
        <w:pStyle w:val="Normal"/>
        <w:jc w:val="center"/>
        <w:rPr>
          <w:b/>
          <w:b/>
        </w:rPr>
      </w:pPr>
      <w:r>
        <w:br w:type="page"/>
      </w:r>
      <w:r>
        <w:rPr>
          <w:b/>
          <w:u w:val="single"/>
        </w:rPr>
        <w:t xml:space="preserve">ETAT N°4 </w:t>
      </w:r>
      <w:r>
        <w:rPr>
          <w:b/>
        </w:rPr>
        <w:t xml:space="preserve"> - ANNEE </w:t>
      </w:r>
    </w:p>
    <w:p>
      <w:pPr>
        <w:pStyle w:val="Normal"/>
        <w:jc w:val="center"/>
        <w:rPr/>
      </w:pPr>
      <w:r>
        <w:rPr/>
      </w:r>
    </w:p>
    <w:p>
      <w:pPr>
        <w:pStyle w:val="Normal"/>
        <w:jc w:val="center"/>
        <w:rPr>
          <w:sz w:val="20"/>
        </w:rPr>
      </w:pPr>
      <w:r>
        <w:rPr>
          <w:sz w:val="20"/>
        </w:rPr>
        <w:t xml:space="preserve">Reversement des attributions de FCTVA en cas de cessions d'immobilisations à un tiers non bénéficiaire du fonds (articles L. 1615-9 et R. 1615-5 du CGCT) </w:t>
      </w:r>
    </w:p>
    <w:p>
      <w:pPr>
        <w:pStyle w:val="Normal"/>
        <w:rPr/>
      </w:pPr>
      <w:r>
        <w:rPr/>
      </w:r>
    </w:p>
    <w:p>
      <w:pPr>
        <w:pStyle w:val="Normal"/>
        <w:ind w:left="-426" w:hanging="567"/>
        <w:rPr>
          <w:sz w:val="20"/>
        </w:rPr>
      </w:pPr>
      <w:r>
        <w:rPr>
          <w:sz w:val="20"/>
          <w:u w:val="single"/>
        </w:rPr>
        <w:t>NB </w:t>
      </w:r>
      <w:r>
        <w:rPr>
          <w:sz w:val="20"/>
        </w:rPr>
        <w:t>: Le montant du FCTVA à reverser sera calculé par les services préfectoraux conformément à l'article R. 1615-5 du CGCT</w:t>
      </w:r>
    </w:p>
    <w:tbl>
      <w:tblPr>
        <w:tblW w:w="1594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2" w:type="dxa"/>
          <w:bottom w:w="0" w:type="dxa"/>
          <w:right w:w="70" w:type="dxa"/>
        </w:tblCellMar>
        <w:tblLook w:val="0000"/>
      </w:tblPr>
      <w:tblGrid>
        <w:gridCol w:w="7370"/>
        <w:gridCol w:w="1418"/>
        <w:gridCol w:w="1701"/>
        <w:gridCol w:w="1418"/>
        <w:gridCol w:w="2268"/>
        <w:gridCol w:w="1771"/>
      </w:tblGrid>
      <w:tr>
        <w:trPr>
          <w:cantSplit w:val="true"/>
        </w:trPr>
        <w:tc>
          <w:tcPr>
            <w:tcW w:w="15946"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Cessions d'immobilisations</w:t>
            </w:r>
          </w:p>
        </w:tc>
      </w:tr>
      <w:tr>
        <w:trPr>
          <w:cantSplit w:val="true"/>
        </w:trPr>
        <w:tc>
          <w:tcPr>
            <w:tcW w:w="7370"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du bien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l'acquisition</w:t>
            </w:r>
          </w:p>
        </w:tc>
        <w:tc>
          <w:tcPr>
            <w:tcW w:w="170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Valeur d'achat ou coût de réalisation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 cession</w:t>
            </w:r>
          </w:p>
        </w:tc>
        <w:tc>
          <w:tcPr>
            <w:tcW w:w="226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de l'acquéreur</w:t>
            </w:r>
          </w:p>
        </w:tc>
        <w:tc>
          <w:tcPr>
            <w:tcW w:w="177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 du FCTVA perçu</w:t>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rPr>
            </w:pPr>
            <w:r>
              <w:rPr>
                <w:sz w:val="16"/>
                <w:u w:val="single"/>
              </w:rPr>
              <w:t>IMMOBILIER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u w:val="single"/>
              </w:rPr>
            </w:pPr>
            <w:r>
              <w:rPr>
                <w:sz w:val="16"/>
                <w:u w:val="single"/>
              </w:rPr>
              <w:t>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0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7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p>
      <w:pPr>
        <w:pStyle w:val="Normal"/>
        <w:rPr>
          <w:sz w:val="20"/>
        </w:rPr>
      </w:pPr>
      <w:r>
        <w:rPr>
          <w:sz w:val="20"/>
        </w:rPr>
      </w:r>
    </w:p>
    <w:tbl>
      <w:tblPr>
        <w:tblW w:w="15946" w:type="dxa"/>
        <w:jc w:val="center"/>
        <w:tblInd w:w="0" w:type="dxa"/>
        <w:tblBorders/>
        <w:tblCellMar>
          <w:top w:w="0" w:type="dxa"/>
          <w:left w:w="70" w:type="dxa"/>
          <w:bottom w:w="0" w:type="dxa"/>
          <w:right w:w="70" w:type="dxa"/>
        </w:tblCellMar>
        <w:tblLook w:val="0000"/>
      </w:tblPr>
      <w:tblGrid>
        <w:gridCol w:w="9476"/>
        <w:gridCol w:w="2501"/>
        <w:gridCol w:w="3969"/>
      </w:tblGrid>
      <w:tr>
        <w:trPr>
          <w:cantSplit w:val="true"/>
        </w:trPr>
        <w:tc>
          <w:tcPr>
            <w:tcW w:w="9476" w:type="dxa"/>
            <w:tcBorders/>
            <w:shd w:fill="auto" w:val="clear"/>
          </w:tcPr>
          <w:p>
            <w:pPr>
              <w:pStyle w:val="Normal"/>
              <w:ind w:left="142" w:hanging="142"/>
              <w:rPr>
                <w:sz w:val="20"/>
              </w:rPr>
            </w:pPr>
            <w:r>
              <w:rPr>
                <w:sz w:val="20"/>
              </w:rPr>
              <w:t>Cachet de la collectivité</w:t>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Certifié exact</w:t>
            </w:r>
          </w:p>
        </w:tc>
      </w:tr>
      <w:tr>
        <w:trPr>
          <w:cantSplit w:val="true"/>
        </w:trPr>
        <w:tc>
          <w:tcPr>
            <w:tcW w:w="9476" w:type="dxa"/>
            <w:tcBorders/>
            <w:shd w:fill="auto" w:val="clear"/>
          </w:tcPr>
          <w:p>
            <w:pPr>
              <w:pStyle w:val="Normal"/>
              <w:jc w:val="right"/>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Fait à                        le</w:t>
            </w:r>
          </w:p>
        </w:tc>
      </w:tr>
      <w:tr>
        <w:trPr>
          <w:cantSplit w:val="true"/>
        </w:trPr>
        <w:tc>
          <w:tcPr>
            <w:tcW w:w="9476" w:type="dxa"/>
            <w:tcBorders/>
            <w:shd w:fill="auto" w:val="clear"/>
          </w:tcPr>
          <w:p>
            <w:pPr>
              <w:pStyle w:val="Normal"/>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Le maire ou le président,</w:t>
            </w:r>
          </w:p>
        </w:tc>
      </w:tr>
    </w:tbl>
    <w:p>
      <w:pPr>
        <w:sectPr>
          <w:footerReference w:type="default" r:id="rId3"/>
          <w:type w:val="nextPage"/>
          <w:pgSz w:orient="landscape" w:w="16838" w:h="11906"/>
          <w:pgMar w:left="1418" w:right="1418" w:header="0" w:top="1134" w:footer="284" w:bottom="1134" w:gutter="0"/>
          <w:pgNumType w:fmt="decimal"/>
          <w:formProt w:val="false"/>
          <w:textDirection w:val="lrTb"/>
          <w:docGrid w:type="default" w:linePitch="100" w:charSpace="4096"/>
        </w:sectPr>
      </w:pPr>
    </w:p>
    <w:p>
      <w:pPr>
        <w:pStyle w:val="Normal"/>
        <w:rPr>
          <w:rFonts w:ascii="Century Gothic" w:hAnsi="Century Gothic"/>
        </w:rPr>
      </w:pPr>
      <w:r>
        <w:rPr>
          <w:rFonts w:ascii="Century Gothic" w:hAnsi="Century Gothic"/>
        </w:rPr>
      </w:r>
    </w:p>
    <w:p>
      <w:pPr>
        <w:pStyle w:val="Normal"/>
        <w:jc w:val="center"/>
        <w:rPr>
          <w:b/>
          <w:b/>
        </w:rPr>
      </w:pPr>
      <w:r>
        <w:rPr>
          <w:b/>
          <w:u w:val="single"/>
        </w:rPr>
        <w:t xml:space="preserve">ETAT N°5 </w:t>
      </w:r>
      <w:r>
        <w:rPr>
          <w:b/>
        </w:rPr>
        <w:t xml:space="preserve"> - ANNEE </w:t>
      </w:r>
    </w:p>
    <w:p>
      <w:pPr>
        <w:pStyle w:val="Normal"/>
        <w:jc w:val="center"/>
        <w:rPr/>
      </w:pPr>
      <w:r>
        <w:rPr/>
      </w:r>
    </w:p>
    <w:p>
      <w:pPr>
        <w:pStyle w:val="Normal"/>
        <w:jc w:val="center"/>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 xml:space="preserve">Opérations nouvellement imposables à la TVA - Montant du FCTVA à reverser </w:t>
      </w:r>
    </w:p>
    <w:p>
      <w:pPr>
        <w:pStyle w:val="Normal"/>
        <w:pBdr>
          <w:top w:val="single" w:sz="4" w:space="1" w:color="000000"/>
          <w:left w:val="single" w:sz="4" w:space="4" w:color="000000"/>
          <w:bottom w:val="single" w:sz="4" w:space="1" w:color="000000"/>
          <w:right w:val="single" w:sz="4" w:space="4" w:color="000000"/>
        </w:pBdr>
        <w:jc w:val="center"/>
        <w:rPr>
          <w:b/>
          <w:b/>
        </w:rPr>
      </w:pPr>
      <w:r>
        <w:rPr>
          <w:b/>
        </w:rPr>
        <w:t>(lorsque la collectivité ou l’établissement conserve l’activité)</w:t>
      </w:r>
    </w:p>
    <w:p>
      <w:pPr>
        <w:pStyle w:val="Normal"/>
        <w:jc w:val="both"/>
        <w:rPr>
          <w:b/>
          <w:b/>
          <w:smallCaps/>
          <w:sz w:val="20"/>
          <w:u w:val="single"/>
        </w:rPr>
      </w:pPr>
      <w:r>
        <w:rPr>
          <w:b/>
          <w:smallCaps/>
          <w:sz w:val="20"/>
          <w:u w:val="single"/>
        </w:rPr>
      </w:r>
    </w:p>
    <w:p>
      <w:pPr>
        <w:pStyle w:val="Normal"/>
        <w:jc w:val="both"/>
        <w:rPr>
          <w:sz w:val="20"/>
        </w:rPr>
      </w:pPr>
      <w:r>
        <w:rPr>
          <w:b/>
          <w:smallCaps/>
          <w:sz w:val="20"/>
          <w:u w:val="single"/>
        </w:rPr>
        <w:t>Exemple 1</w:t>
      </w:r>
    </w:p>
    <w:p>
      <w:pPr>
        <w:pStyle w:val="Normal"/>
        <w:jc w:val="both"/>
        <w:rPr>
          <w:sz w:val="20"/>
        </w:rPr>
      </w:pPr>
      <w:r>
        <w:rPr>
          <w:sz w:val="20"/>
        </w:rPr>
      </w:r>
    </w:p>
    <w:p>
      <w:pPr>
        <w:pStyle w:val="Normal"/>
        <w:jc w:val="both"/>
        <w:rPr>
          <w:sz w:val="20"/>
        </w:rPr>
      </w:pPr>
      <w:r>
        <w:rPr>
          <w:sz w:val="20"/>
        </w:rPr>
        <w:t>Acquisition d'un immeuble à usage de bureaux achevé le 1er juillet 2016:</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jc w:val="both"/>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jc w:val="both"/>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jc w:val="both"/>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L'immeuble nu à usage professionnel est donné en location par la collectivité. La location nue est exonérée de la TVA.</w:t>
      </w:r>
    </w:p>
    <w:p>
      <w:pPr>
        <w:pStyle w:val="Normal"/>
        <w:jc w:val="both"/>
        <w:rPr>
          <w:sz w:val="20"/>
        </w:rPr>
      </w:pPr>
      <w:r>
        <w:rPr>
          <w:sz w:val="20"/>
        </w:rPr>
      </w:r>
    </w:p>
    <w:p>
      <w:pPr>
        <w:pStyle w:val="Normal"/>
        <w:jc w:val="both"/>
        <w:rPr>
          <w:sz w:val="20"/>
        </w:rPr>
      </w:pPr>
      <w:r>
        <w:rPr>
          <w:b/>
          <w:sz w:val="20"/>
        </w:rPr>
        <w:t>La collectivité locale opte pour l'assujettissement à la taxe sur la valeur ajoutée de son activité de location nue à compter du 1er janvier 2020.</w:t>
      </w:r>
      <w:r>
        <w:rPr>
          <w:sz w:val="20"/>
        </w:rPr>
        <w:t>.</w:t>
      </w:r>
    </w:p>
    <w:p>
      <w:pPr>
        <w:pStyle w:val="Normal"/>
        <w:jc w:val="both"/>
        <w:rPr>
          <w:sz w:val="20"/>
        </w:rPr>
      </w:pPr>
      <w:r>
        <w:rPr>
          <w:sz w:val="20"/>
        </w:rPr>
      </w:r>
    </w:p>
    <w:tbl>
      <w:tblPr>
        <w:tblW w:w="8008" w:type="dxa"/>
        <w:jc w:val="left"/>
        <w:tblInd w:w="0" w:type="dxa"/>
        <w:tblBorders/>
        <w:tblCellMar>
          <w:top w:w="0" w:type="dxa"/>
          <w:left w:w="70" w:type="dxa"/>
          <w:bottom w:w="0" w:type="dxa"/>
          <w:right w:w="70" w:type="dxa"/>
        </w:tblCellMar>
        <w:tblLook w:val="0000"/>
      </w:tblPr>
      <w:tblGrid>
        <w:gridCol w:w="1629"/>
        <w:gridCol w:w="1559"/>
        <w:gridCol w:w="1559"/>
        <w:gridCol w:w="1560"/>
        <w:gridCol w:w="1701"/>
      </w:tblGrid>
      <w:tr>
        <w:trPr>
          <w:cantSplit w:val="true"/>
        </w:trPr>
        <w:tc>
          <w:tcPr>
            <w:tcW w:w="1629" w:type="dxa"/>
            <w:tcBorders/>
            <w:shd w:fill="auto" w:val="clear"/>
          </w:tcPr>
          <w:p>
            <w:pPr>
              <w:pStyle w:val="Normal"/>
              <w:spacing w:before="120" w:after="0"/>
              <w:jc w:val="center"/>
              <w:rPr>
                <w:sz w:val="20"/>
              </w:rPr>
            </w:pPr>
            <w:r>
              <w:rPr>
                <w:sz w:val="20"/>
              </w:rPr>
            </w:r>
          </w:p>
        </w:tc>
        <w:tc>
          <w:tcPr>
            <w:tcW w:w="1559" w:type="dxa"/>
            <w:tcBorders/>
            <w:shd w:fill="auto" w:val="clear"/>
          </w:tcPr>
          <w:p>
            <w:pPr>
              <w:pStyle w:val="Normal"/>
              <w:spacing w:before="120" w:after="0"/>
              <w:jc w:val="center"/>
              <w:rPr>
                <w:sz w:val="20"/>
              </w:rPr>
            </w:pPr>
            <w:r>
              <w:rPr>
                <w:sz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0"/>
              <w:jc w:val="center"/>
              <w:rPr>
                <w:sz w:val="20"/>
              </w:rPr>
            </w:pPr>
            <w:r>
              <w:rPr>
                <w:sz w:val="20"/>
              </w:rPr>
              <w:t>A</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2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T.T.C. </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H.T. </w:t>
            </w:r>
          </w:p>
        </w:tc>
        <w:tc>
          <w:tcPr>
            <w:tcW w:w="1559"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FCTVA </w:t>
            </w:r>
          </w:p>
          <w:p>
            <w:pPr>
              <w:pStyle w:val="Normal"/>
              <w:spacing w:before="120" w:after="0"/>
              <w:jc w:val="center"/>
              <w:rPr>
                <w:sz w:val="20"/>
              </w:rPr>
            </w:pPr>
            <w:r>
              <w:rPr>
                <w:sz w:val="20"/>
              </w:rPr>
              <w:t>reçu</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Crédit de départ (1)</w:t>
            </w:r>
          </w:p>
        </w:tc>
        <w:tc>
          <w:tcPr>
            <w:tcW w:w="1701"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FCTVA à reverser</w:t>
            </w:r>
          </w:p>
        </w:tc>
      </w:tr>
      <w:tr>
        <w:trPr>
          <w:cantSplit w:val="true"/>
        </w:trPr>
        <w:tc>
          <w:tcPr>
            <w:tcW w:w="16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 xml:space="preserve">39 369 </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(TVA supportée) X16/20 = 32 000</w:t>
      </w:r>
    </w:p>
    <w:p>
      <w:pPr>
        <w:pStyle w:val="Normal"/>
        <w:jc w:val="both"/>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exonérée de TVA. Dans notre exemple, la durée pendant laquelle la location a été exonérée est de quatre ans (2016-2017-2018-2019). La TVA que pourra déduire fiscalement la collectivité est alors égale aux 16/20 restant à courir (article 226 de l’annexe II au code général des impôts).</w:t>
      </w:r>
    </w:p>
    <w:p>
      <w:pPr>
        <w:pStyle w:val="Normal"/>
        <w:jc w:val="both"/>
        <w:rPr>
          <w:sz w:val="20"/>
        </w:rPr>
      </w:pPr>
      <w:r>
        <w:rPr>
          <w:sz w:val="20"/>
        </w:rPr>
      </w:r>
    </w:p>
    <w:p>
      <w:pPr>
        <w:pStyle w:val="Normal"/>
        <w:jc w:val="both"/>
        <w:rPr>
          <w:sz w:val="20"/>
        </w:rPr>
      </w:pPr>
      <w:r>
        <w:rPr>
          <w:b/>
          <w:smallCaps/>
          <w:sz w:val="20"/>
          <w:u w:val="single"/>
        </w:rPr>
        <w:t>Exemple 2</w:t>
      </w:r>
    </w:p>
    <w:p>
      <w:pPr>
        <w:pStyle w:val="Normal"/>
        <w:jc w:val="both"/>
        <w:rPr>
          <w:sz w:val="20"/>
        </w:rPr>
      </w:pPr>
      <w:r>
        <w:rPr>
          <w:sz w:val="20"/>
        </w:rPr>
      </w:r>
    </w:p>
    <w:p>
      <w:pPr>
        <w:pStyle w:val="Normal"/>
        <w:jc w:val="both"/>
        <w:rPr>
          <w:sz w:val="20"/>
        </w:rPr>
      </w:pPr>
      <w:r>
        <w:rPr>
          <w:sz w:val="20"/>
        </w:rPr>
        <w:t>Acquisition d'une usine d’incinération des déchets ménagers par un EPCI qui finance le service d’élimination des déchets ménagers par la TEOM (activité placée hors du champ d’application de la TVA).</w:t>
      </w:r>
    </w:p>
    <w:p>
      <w:pPr>
        <w:pStyle w:val="Normal"/>
        <w:jc w:val="both"/>
        <w:rPr>
          <w:sz w:val="20"/>
        </w:rPr>
      </w:pPr>
      <w:r>
        <w:rPr>
          <w:sz w:val="20"/>
        </w:rPr>
      </w:r>
    </w:p>
    <w:p>
      <w:pPr>
        <w:pStyle w:val="Normal"/>
        <w:jc w:val="both"/>
        <w:rPr>
          <w:sz w:val="20"/>
        </w:rPr>
      </w:pPr>
      <w:r>
        <w:rPr>
          <w:sz w:val="20"/>
        </w:rPr>
        <w:t>Cet EPCI choisit au 1</w:t>
      </w:r>
      <w:r>
        <w:rPr>
          <w:sz w:val="20"/>
          <w:vertAlign w:val="superscript"/>
        </w:rPr>
        <w:t>er</w:t>
      </w:r>
      <w:r>
        <w:rPr>
          <w:sz w:val="20"/>
        </w:rPr>
        <w:t xml:space="preserve"> janvier 2020 de financer le service par la REOM et opte pour soumettre à la TVA les opérations afférentes au service.</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L’EPCI a perçu au titre du FCTVA un montant de 39 369 €.</w:t>
      </w:r>
    </w:p>
    <w:p>
      <w:pPr>
        <w:pStyle w:val="Normal"/>
        <w:jc w:val="both"/>
        <w:rPr>
          <w:sz w:val="20"/>
        </w:rPr>
      </w:pPr>
      <w:r>
        <w:rPr>
          <w:sz w:val="20"/>
        </w:rPr>
      </w:r>
    </w:p>
    <w:p>
      <w:pPr>
        <w:pStyle w:val="Normal"/>
        <w:jc w:val="both"/>
        <w:rPr>
          <w:sz w:val="20"/>
        </w:rPr>
      </w:pPr>
      <w:r>
        <w:rPr>
          <w:sz w:val="20"/>
        </w:rPr>
        <w:t>Cet EPCI ne peut bénéficier au titre de l’usine d’incinération d’un crédit de départ. En effet, la TVA supportée par l’EPCI lorsqu’il était placé hors du champ d’application de la TVA ne peut jamais être déduite (application de la jurisprudence de la CJCE du 11 juillet 1991, LENNARTZ), voir partie III, chapitre 2.</w:t>
      </w:r>
    </w:p>
    <w:p>
      <w:pPr>
        <w:pStyle w:val="Normal"/>
        <w:jc w:val="both"/>
        <w:rPr>
          <w:sz w:val="20"/>
        </w:rPr>
      </w:pPr>
      <w:r>
        <w:rPr>
          <w:sz w:val="20"/>
        </w:rPr>
      </w:r>
    </w:p>
    <w:p>
      <w:pPr>
        <w:pStyle w:val="Normal"/>
        <w:jc w:val="both"/>
        <w:rPr>
          <w:sz w:val="20"/>
        </w:rPr>
      </w:pPr>
      <w:r>
        <w:rPr>
          <w:sz w:val="20"/>
        </w:rPr>
        <w:t xml:space="preserve">L’EPCI n’est donc pas tenu de reverser les attributions du FCTVA perçues. </w:t>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sectPr>
          <w:footerReference w:type="default" r:id="rId4"/>
          <w:type w:val="nextPage"/>
          <w:pgSz w:w="11906" w:h="16838"/>
          <w:pgMar w:left="1134" w:right="1134" w:header="0" w:top="1418" w:footer="284" w:bottom="1418" w:gutter="0"/>
          <w:pgNumType w:fmt="decimal"/>
          <w:formProt w:val="false"/>
          <w:textDirection w:val="lrTb"/>
          <w:docGrid w:type="default" w:linePitch="100" w:charSpace="4096"/>
        </w:sectPr>
        <w:pStyle w:val="Normal"/>
        <w:jc w:val="both"/>
        <w:rPr>
          <w:sz w:val="20"/>
        </w:rPr>
      </w:pPr>
      <w:r>
        <w:rPr>
          <w:sz w:val="20"/>
        </w:rPr>
      </w:r>
    </w:p>
    <w:p>
      <w:pPr>
        <w:pStyle w:val="Normal"/>
        <w:jc w:val="center"/>
        <w:rPr>
          <w:b/>
          <w:b/>
          <w:u w:val="single"/>
        </w:rPr>
      </w:pPr>
      <w:r>
        <w:rPr>
          <w:b/>
          <w:u w:val="single"/>
        </w:rPr>
      </w:r>
    </w:p>
    <w:p>
      <w:pPr>
        <w:pStyle w:val="Normal"/>
        <w:jc w:val="center"/>
        <w:rPr>
          <w:b/>
          <w:b/>
        </w:rPr>
      </w:pPr>
      <w:r>
        <w:rPr>
          <w:b/>
          <w:u w:val="single"/>
        </w:rPr>
        <w:t xml:space="preserve">ETAT N°6 </w:t>
      </w:r>
      <w:r>
        <w:rPr>
          <w:b/>
        </w:rPr>
        <w:t xml:space="preserve"> - ANNEE </w:t>
      </w:r>
    </w:p>
    <w:p>
      <w:pPr>
        <w:pStyle w:val="Normal"/>
        <w:jc w:val="center"/>
        <w:rPr/>
      </w:pPr>
      <w:r>
        <w:rPr/>
      </w:r>
    </w:p>
    <w:p>
      <w:pPr>
        <w:pStyle w:val="Normal"/>
        <w:jc w:val="center"/>
        <w:rPr/>
      </w:pPr>
      <w:r>
        <w:rPr/>
      </w:r>
    </w:p>
    <w:p>
      <w:pPr>
        <w:pStyle w:val="Retraitdecorpsdetexte"/>
        <w:jc w:val="center"/>
        <w:rPr>
          <w:b/>
          <w:b/>
        </w:rPr>
      </w:pPr>
      <w:r>
        <w:rPr>
          <w:b/>
        </w:rPr>
        <w:t>Opérations sortant du régime de la TVA - Montant de FCTVA à recevoir</w:t>
      </w:r>
    </w:p>
    <w:p>
      <w:pPr>
        <w:pStyle w:val="Normal"/>
        <w:rPr/>
      </w:pPr>
      <w:r>
        <w:rPr/>
      </w:r>
    </w:p>
    <w:p>
      <w:pPr>
        <w:pStyle w:val="Normal"/>
        <w:rPr/>
      </w:pPr>
      <w:r>
        <w:rPr/>
      </w:r>
    </w:p>
    <w:p>
      <w:pPr>
        <w:pStyle w:val="Normal"/>
        <w:jc w:val="both"/>
        <w:rPr>
          <w:sz w:val="20"/>
        </w:rPr>
      </w:pPr>
      <w:r>
        <w:rPr>
          <w:b/>
          <w:smallCaps/>
          <w:sz w:val="20"/>
          <w:u w:val="single"/>
        </w:rPr>
        <w:t>Exemple</w:t>
      </w:r>
    </w:p>
    <w:p>
      <w:pPr>
        <w:pStyle w:val="Normal"/>
        <w:jc w:val="both"/>
        <w:rPr>
          <w:sz w:val="20"/>
        </w:rPr>
      </w:pPr>
      <w:r>
        <w:rPr>
          <w:sz w:val="20"/>
        </w:rPr>
      </w:r>
    </w:p>
    <w:p>
      <w:pPr>
        <w:pStyle w:val="Normal"/>
        <w:jc w:val="both"/>
        <w:rPr>
          <w:sz w:val="20"/>
        </w:rPr>
      </w:pPr>
      <w:r>
        <w:rPr>
          <w:sz w:val="20"/>
        </w:rPr>
        <w:t>Acquisition d'une station d'épuration achevée le 1er mars 2016:</w:t>
      </w:r>
    </w:p>
    <w:p>
      <w:pPr>
        <w:pStyle w:val="Normal"/>
        <w:rPr>
          <w:sz w:val="20"/>
        </w:rPr>
      </w:pPr>
      <w:r>
        <w:rPr>
          <w:sz w:val="20"/>
        </w:rPr>
      </w:r>
    </w:p>
    <w:tbl>
      <w:tblPr>
        <w:tblW w:w="4748" w:type="dxa"/>
        <w:jc w:val="left"/>
        <w:tblInd w:w="0" w:type="dxa"/>
        <w:tblBorders/>
        <w:tblCellMar>
          <w:top w:w="0" w:type="dxa"/>
          <w:left w:w="70" w:type="dxa"/>
          <w:bottom w:w="0" w:type="dxa"/>
          <w:right w:w="70" w:type="dxa"/>
        </w:tblCellMar>
        <w:tblLook w:val="0000"/>
      </w:tblPr>
      <w:tblGrid>
        <w:gridCol w:w="3188"/>
        <w:gridCol w:w="1559"/>
      </w:tblGrid>
      <w:tr>
        <w:trPr/>
        <w:tc>
          <w:tcPr>
            <w:tcW w:w="3188" w:type="dxa"/>
            <w:tcBorders/>
            <w:shd w:fill="auto" w:val="clear"/>
          </w:tcPr>
          <w:p>
            <w:pPr>
              <w:pStyle w:val="Normal"/>
              <w:rPr>
                <w:sz w:val="20"/>
              </w:rPr>
            </w:pPr>
            <w:r>
              <w:rPr>
                <w:sz w:val="20"/>
              </w:rPr>
              <w:t>Prix hors taxe</w:t>
            </w:r>
          </w:p>
        </w:tc>
        <w:tc>
          <w:tcPr>
            <w:tcW w:w="1559" w:type="dxa"/>
            <w:tcBorders/>
            <w:shd w:fill="auto" w:val="clear"/>
          </w:tcPr>
          <w:p>
            <w:pPr>
              <w:pStyle w:val="Normal"/>
              <w:jc w:val="right"/>
              <w:rPr>
                <w:sz w:val="20"/>
              </w:rPr>
            </w:pPr>
            <w:r>
              <w:rPr>
                <w:sz w:val="20"/>
              </w:rPr>
              <w:t>200 000 euros</w:t>
            </w:r>
          </w:p>
        </w:tc>
      </w:tr>
      <w:tr>
        <w:trPr/>
        <w:tc>
          <w:tcPr>
            <w:tcW w:w="3188" w:type="dxa"/>
            <w:tcBorders/>
            <w:shd w:fill="auto" w:val="clear"/>
          </w:tcPr>
          <w:p>
            <w:pPr>
              <w:pStyle w:val="Normal"/>
              <w:rPr>
                <w:sz w:val="20"/>
              </w:rPr>
            </w:pPr>
            <w:r>
              <w:rPr>
                <w:sz w:val="20"/>
              </w:rPr>
              <w:t>Taxe sur la valeur ajoutée</w:t>
            </w:r>
          </w:p>
        </w:tc>
        <w:tc>
          <w:tcPr>
            <w:tcW w:w="1559"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188" w:type="dxa"/>
            <w:tcBorders/>
            <w:shd w:fill="auto" w:val="clear"/>
          </w:tcPr>
          <w:p>
            <w:pPr>
              <w:pStyle w:val="Normal"/>
              <w:rPr>
                <w:sz w:val="20"/>
              </w:rPr>
            </w:pPr>
            <w:r>
              <w:rPr>
                <w:sz w:val="20"/>
              </w:rPr>
              <w:t>Prix toutes taxes comprises</w:t>
            </w:r>
          </w:p>
        </w:tc>
        <w:tc>
          <w:tcPr>
            <w:tcW w:w="1559" w:type="dxa"/>
            <w:tcBorders/>
            <w:shd w:fill="auto" w:val="clear"/>
          </w:tcPr>
          <w:p>
            <w:pPr>
              <w:pStyle w:val="Normal"/>
              <w:jc w:val="right"/>
              <w:rPr>
                <w:sz w:val="20"/>
              </w:rPr>
            </w:pPr>
            <w:r>
              <w:rPr>
                <w:sz w:val="20"/>
              </w:rPr>
              <w:t>240 000 euros</w:t>
            </w:r>
          </w:p>
        </w:tc>
      </w:tr>
    </w:tbl>
    <w:p>
      <w:pPr>
        <w:pStyle w:val="Normal"/>
        <w:rPr>
          <w:sz w:val="20"/>
        </w:rPr>
      </w:pPr>
      <w:r>
        <w:rPr>
          <w:sz w:val="20"/>
        </w:rPr>
      </w:r>
    </w:p>
    <w:p>
      <w:pPr>
        <w:pStyle w:val="Normal"/>
        <w:jc w:val="both"/>
        <w:rPr>
          <w:sz w:val="20"/>
        </w:rPr>
      </w:pPr>
      <w:r>
        <w:rPr>
          <w:sz w:val="20"/>
        </w:rPr>
        <w:t>La collectivité locale qui soumettait sur option les opérations d’assainissement à la TVA dénonce cette option à compter du 1er janvier 2020.</w:t>
      </w:r>
    </w:p>
    <w:p>
      <w:pPr>
        <w:pStyle w:val="Normal"/>
        <w:jc w:val="both"/>
        <w:rPr>
          <w:sz w:val="20"/>
        </w:rPr>
      </w:pPr>
      <w:r>
        <w:rPr>
          <w:sz w:val="20"/>
        </w:rPr>
      </w:r>
    </w:p>
    <w:tbl>
      <w:tblPr>
        <w:tblW w:w="7583" w:type="dxa"/>
        <w:jc w:val="left"/>
        <w:tblInd w:w="0" w:type="dxa"/>
        <w:tblBorders/>
        <w:tblCellMar>
          <w:top w:w="0" w:type="dxa"/>
          <w:left w:w="70" w:type="dxa"/>
          <w:bottom w:w="0" w:type="dxa"/>
          <w:right w:w="70" w:type="dxa"/>
        </w:tblCellMar>
        <w:tblLook w:val="0000"/>
      </w:tblPr>
      <w:tblGrid>
        <w:gridCol w:w="1630"/>
        <w:gridCol w:w="1559"/>
        <w:gridCol w:w="1416"/>
        <w:gridCol w:w="1418"/>
        <w:gridCol w:w="1560"/>
      </w:tblGrid>
      <w:tr>
        <w:trPr>
          <w:cantSplit w:val="true"/>
        </w:trPr>
        <w:tc>
          <w:tcPr>
            <w:tcW w:w="1630" w:type="dxa"/>
            <w:tcBorders/>
            <w:shd w:fill="auto" w:val="clear"/>
          </w:tcPr>
          <w:p>
            <w:pPr>
              <w:pStyle w:val="Normal"/>
              <w:jc w:val="center"/>
              <w:rPr>
                <w:sz w:val="20"/>
              </w:rPr>
            </w:pPr>
            <w:r>
              <w:rPr>
                <w:sz w:val="20"/>
              </w:rPr>
            </w:r>
          </w:p>
        </w:tc>
        <w:tc>
          <w:tcPr>
            <w:tcW w:w="1559" w:type="dxa"/>
            <w:tcBorders>
              <w:right w:val="single" w:sz="6" w:space="0" w:color="000000"/>
              <w:insideV w:val="single" w:sz="6" w:space="0" w:color="000000"/>
            </w:tcBorders>
            <w:shd w:fill="auto" w:val="clear"/>
          </w:tcPr>
          <w:p>
            <w:pPr>
              <w:pStyle w:val="Normal"/>
              <w:jc w:val="center"/>
              <w:rPr>
                <w:sz w:val="20"/>
              </w:rPr>
            </w:pPr>
            <w:r>
              <w:rPr>
                <w:sz w:val="20"/>
              </w:rPr>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A</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30"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TTC</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HT</w:t>
            </w:r>
          </w:p>
        </w:tc>
        <w:tc>
          <w:tcPr>
            <w:tcW w:w="1416"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w:t>
            </w:r>
          </w:p>
          <w:p>
            <w:pPr>
              <w:pStyle w:val="Normal"/>
              <w:spacing w:before="120" w:after="0"/>
              <w:jc w:val="center"/>
              <w:rPr>
                <w:sz w:val="20"/>
              </w:rPr>
            </w:pPr>
            <w:r>
              <w:rPr>
                <w:sz w:val="20"/>
              </w:rPr>
              <w:t>déduite</w:t>
            </w:r>
          </w:p>
        </w:tc>
        <w:tc>
          <w:tcPr>
            <w:tcW w:w="1418"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 à reverser</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Attributions du FCTVA</w:t>
            </w:r>
          </w:p>
        </w:tc>
      </w:tr>
      <w:tr>
        <w:trPr>
          <w:cantSplit w:val="true"/>
        </w:trPr>
        <w:tc>
          <w:tcPr>
            <w:tcW w:w="16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40 000</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 (1)</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X16/20 = 32 000</w:t>
      </w:r>
    </w:p>
    <w:p>
      <w:pPr>
        <w:pStyle w:val="Normal"/>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soumise à la TVA. Dans notre exemple, l’utilisation pour des opérations soumises à la TVA a été de 4 ans (2016 - 2017 - 2018 - 2019).</w:t>
      </w:r>
    </w:p>
    <w:p>
      <w:pPr>
        <w:pStyle w:val="Normal"/>
        <w:jc w:val="both"/>
        <w:rPr>
          <w:sz w:val="20"/>
        </w:rPr>
      </w:pPr>
      <w:r>
        <w:rPr>
          <w:sz w:val="20"/>
        </w:rPr>
        <w:t>La collectivité devra reverser au service des impôts 16/20 de la TVA initialement déduite.</w:t>
      </w:r>
    </w:p>
    <w:p>
      <w:pPr>
        <w:pStyle w:val="Normal"/>
        <w:jc w:val="both"/>
        <w:rPr>
          <w:sz w:val="20"/>
        </w:rPr>
      </w:pPr>
      <w:r>
        <w:rPr>
          <w:sz w:val="20"/>
        </w:rPr>
      </w:r>
    </w:p>
    <w:p>
      <w:pPr>
        <w:pStyle w:val="Normal"/>
        <w:jc w:val="both"/>
        <w:rPr>
          <w:sz w:val="20"/>
        </w:rPr>
      </w:pPr>
      <w:r>
        <w:rPr>
          <w:sz w:val="20"/>
        </w:rPr>
        <w:t>La collectivité obtiendra un montant de FCTVA égal à la TVA qu’elle a été tenue de reverser au service des impôts.</w:t>
      </w:r>
    </w:p>
    <w:p>
      <w:pPr>
        <w:pStyle w:val="Normal"/>
        <w:jc w:val="both"/>
        <w:rPr>
          <w:sz w:val="20"/>
        </w:rPr>
      </w:pPr>
      <w:r>
        <w:rPr>
          <w:sz w:val="20"/>
        </w:rPr>
      </w:r>
    </w:p>
    <w:p>
      <w:pPr>
        <w:pStyle w:val="Normal"/>
        <w:jc w:val="both"/>
        <w:rPr>
          <w:sz w:val="20"/>
        </w:rPr>
      </w:pPr>
      <w:r>
        <w:rPr>
          <w:sz w:val="20"/>
        </w:rPr>
        <w:t>L’attribution du FCTVA suppose au préalable que la collectivité ait fourni le document fiscal établissant le montant du reversement de TVA.</w:t>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hanging="0"/>
        <w:rPr>
          <w:sz w:val="21"/>
          <w:szCs w:val="21"/>
        </w:rPr>
      </w:pPr>
      <w:r>
        <w:rPr>
          <w:sz w:val="21"/>
          <w:szCs w:val="21"/>
        </w:rPr>
      </w:r>
    </w:p>
    <w:p>
      <w:pPr>
        <w:pStyle w:val="Normal"/>
        <w:rPr/>
      </w:pPr>
      <w:r>
        <w:rPr/>
      </w:r>
    </w:p>
    <w:sectPr>
      <w:footerReference w:type="default" r:id="rId5"/>
      <w:footerReference w:type="first" r:id="rId6"/>
      <w:type w:val="nextPage"/>
      <w:pgSz w:w="11906" w:h="16838"/>
      <w:pgMar w:left="1418" w:right="1418" w:header="0" w:top="1418" w:footer="227" w:bottom="107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Wingdings">
    <w:charset w:val="02"/>
    <w:family w:val="roman"/>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2</w:t>
    </w:r>
    <w:r>
      <w:rPr>
        <w:rStyle w:val="Pagenumber"/>
        <w:sz w:val="16"/>
        <w:szCs w:val="16"/>
      </w:rPr>
      <w:fldChar w:fldCharType="end"/>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46685"/>
              <wp:effectExtent l="0" t="0" r="0" b="0"/>
              <wp:wrapSquare wrapText="largest"/>
              <wp:docPr id="1" name="Cadre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Pieddepage"/>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Pieddepage"/>
                      <w:pBd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17</w:t>
    </w:r>
    <w:r>
      <w:rPr>
        <w:rStyle w:val="Pagenumbe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18</w:t>
    </w:r>
    <w:r>
      <w:rPr>
        <w:rStyle w:val="Pagenumber"/>
        <w:sz w:val="16"/>
        <w:szCs w:val="16"/>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s>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2"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v:textbox>
              <w10:wrap type="square" side="larges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Fonts w:cs="Courier New"/>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Fonts w:cs="Courier New"/>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Fonts w:cs="Courier New"/>
      </w:rPr>
    </w:lvl>
    <w:lvl w:ilvl="8">
      <w:start w:val="1"/>
      <w:numFmt w:val="bullet"/>
      <w:lvlText w:val=""/>
      <w:lvlJc w:val="left"/>
      <w:pPr>
        <w:ind w:left="697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Plain Text"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1c3d"/>
    <w:pPr>
      <w:widowControl/>
      <w:bidi w:val="0"/>
      <w:spacing w:lineRule="auto" w:line="240" w:before="0" w:after="0"/>
      <w:jc w:val="left"/>
    </w:pPr>
    <w:rPr>
      <w:rFonts w:ascii="Arial" w:hAnsi="Arial" w:eastAsia="Times New Roman" w:cs="Arial"/>
      <w:color w:val="auto"/>
      <w:kern w:val="0"/>
      <w:sz w:val="22"/>
      <w:szCs w:val="22"/>
      <w:lang w:eastAsia="fr-FR" w:val="fr-FR" w:bidi="ar-SA"/>
    </w:rPr>
  </w:style>
  <w:style w:type="paragraph" w:styleId="Titre1">
    <w:name w:val="Heading 1"/>
    <w:basedOn w:val="Normal"/>
    <w:next w:val="Normal"/>
    <w:link w:val="Titre1Car"/>
    <w:qFormat/>
    <w:rsid w:val="00871c3d"/>
    <w:pPr>
      <w:keepLines/>
      <w:spacing w:before="240" w:after="120"/>
      <w:outlineLvl w:val="0"/>
    </w:pPr>
    <w:rPr>
      <w:rFonts w:ascii="Times New Roman" w:hAnsi="Times New Roman" w:cs="Times New Roman"/>
      <w:b/>
      <w:bCs/>
      <w:sz w:val="24"/>
      <w:szCs w:val="24"/>
      <w:u w:val="single"/>
    </w:rPr>
  </w:style>
  <w:style w:type="paragraph" w:styleId="Titre2">
    <w:name w:val="Heading 2"/>
    <w:basedOn w:val="Normal"/>
    <w:next w:val="Normal"/>
    <w:link w:val="Titre2Car"/>
    <w:qFormat/>
    <w:rsid w:val="00871c3d"/>
    <w:pPr>
      <w:keepNext w:val="true"/>
      <w:jc w:val="center"/>
      <w:outlineLvl w:val="1"/>
    </w:pPr>
    <w:rPr>
      <w:b/>
      <w:bCs/>
    </w:rPr>
  </w:style>
  <w:style w:type="paragraph" w:styleId="Titre3">
    <w:name w:val="Heading 3"/>
    <w:basedOn w:val="Normal"/>
    <w:next w:val="Normal"/>
    <w:link w:val="Titre3Car"/>
    <w:qFormat/>
    <w:rsid w:val="00871c3d"/>
    <w:pPr>
      <w:keepNext w:val="true"/>
      <w:spacing w:before="0" w:after="60"/>
      <w:jc w:val="center"/>
      <w:outlineLvl w:val="2"/>
    </w:pPr>
    <w:rPr>
      <w:b/>
      <w:i/>
    </w:rPr>
  </w:style>
  <w:style w:type="paragraph" w:styleId="Titre4">
    <w:name w:val="Heading 4"/>
    <w:basedOn w:val="Normal"/>
    <w:next w:val="Normal"/>
    <w:link w:val="Titre4Car"/>
    <w:qFormat/>
    <w:rsid w:val="00871c3d"/>
    <w:pPr>
      <w:keepNext w:val="true"/>
      <w:jc w:val="both"/>
      <w:outlineLvl w:val="3"/>
    </w:pPr>
    <w:rPr>
      <w:b/>
      <w:bCs/>
      <w:u w:val="single"/>
    </w:rPr>
  </w:style>
  <w:style w:type="paragraph" w:styleId="Titre5">
    <w:name w:val="Heading 5"/>
    <w:basedOn w:val="Normal"/>
    <w:next w:val="Normal"/>
    <w:link w:val="Titre5Car"/>
    <w:qFormat/>
    <w:rsid w:val="00871c3d"/>
    <w:pPr>
      <w:keepNext w:val="true"/>
      <w:tabs>
        <w:tab w:val="left" w:pos="0" w:leader="none"/>
        <w:tab w:val="left" w:pos="142" w:leader="none"/>
        <w:tab w:val="left" w:pos="10773" w:leader="none"/>
      </w:tabs>
      <w:jc w:val="center"/>
      <w:outlineLvl w:val="4"/>
    </w:pPr>
    <w:rPr>
      <w:b/>
      <w:sz w:val="20"/>
      <w:u w:val="single"/>
    </w:rPr>
  </w:style>
  <w:style w:type="paragraph" w:styleId="Titre6">
    <w:name w:val="Heading 6"/>
    <w:basedOn w:val="Normal"/>
    <w:next w:val="Normal"/>
    <w:link w:val="Titre6Car"/>
    <w:qFormat/>
    <w:rsid w:val="00871c3d"/>
    <w:pPr>
      <w:keepNext w:val="true"/>
      <w:pBdr>
        <w:top w:val="single" w:sz="4" w:space="1" w:color="000000"/>
        <w:left w:val="single" w:sz="4" w:space="4" w:color="000000"/>
        <w:bottom w:val="single" w:sz="4" w:space="1" w:color="000000"/>
        <w:right w:val="single" w:sz="4" w:space="4" w:color="000000"/>
      </w:pBdr>
      <w:jc w:val="both"/>
      <w:outlineLvl w:val="5"/>
    </w:pPr>
    <w:rPr>
      <w:b/>
      <w:bCs/>
    </w:rPr>
  </w:style>
  <w:style w:type="paragraph" w:styleId="Titre7">
    <w:name w:val="Heading 7"/>
    <w:basedOn w:val="Normal"/>
    <w:next w:val="Normal"/>
    <w:link w:val="Titre7Car"/>
    <w:qFormat/>
    <w:rsid w:val="00871c3d"/>
    <w:pPr>
      <w:keepNext w:val="true"/>
      <w:jc w:val="center"/>
      <w:outlineLvl w:val="6"/>
    </w:pPr>
    <w:rPr>
      <w:b/>
    </w:rPr>
  </w:style>
  <w:style w:type="paragraph" w:styleId="Titre8">
    <w:name w:val="Heading 8"/>
    <w:basedOn w:val="Normal"/>
    <w:next w:val="Normal"/>
    <w:link w:val="Titre8Car"/>
    <w:qFormat/>
    <w:rsid w:val="00871c3d"/>
    <w:pPr>
      <w:keepNext w:val="true"/>
      <w:outlineLvl w:val="7"/>
    </w:pPr>
    <w:rPr>
      <w:b/>
      <w:sz w:val="20"/>
    </w:rPr>
  </w:style>
  <w:style w:type="paragraph" w:styleId="Titre9">
    <w:name w:val="Heading 9"/>
    <w:basedOn w:val="Normal"/>
    <w:next w:val="Normal"/>
    <w:link w:val="Titre9Car"/>
    <w:qFormat/>
    <w:rsid w:val="00871c3d"/>
    <w:pPr>
      <w:keepNext w:val="true"/>
      <w:tabs>
        <w:tab w:val="left" w:pos="2410" w:leader="none"/>
      </w:tabs>
      <w:ind w:left="-465" w:hanging="0"/>
      <w:jc w:val="right"/>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71c3d"/>
    <w:rPr>
      <w:rFonts w:ascii="Times New Roman" w:hAnsi="Times New Roman" w:eastAsia="Times New Roman" w:cs="Times New Roman"/>
      <w:b/>
      <w:bCs/>
      <w:sz w:val="24"/>
      <w:szCs w:val="24"/>
      <w:u w:val="single"/>
      <w:lang w:eastAsia="fr-FR"/>
    </w:rPr>
  </w:style>
  <w:style w:type="character" w:styleId="Titre2Car" w:customStyle="1">
    <w:name w:val="Titre 2 Car"/>
    <w:basedOn w:val="DefaultParagraphFont"/>
    <w:link w:val="Titre2"/>
    <w:qFormat/>
    <w:rsid w:val="00871c3d"/>
    <w:rPr>
      <w:rFonts w:ascii="Arial" w:hAnsi="Arial" w:eastAsia="Times New Roman" w:cs="Arial"/>
      <w:b/>
      <w:bCs/>
      <w:lang w:eastAsia="fr-FR"/>
    </w:rPr>
  </w:style>
  <w:style w:type="character" w:styleId="Titre3Car" w:customStyle="1">
    <w:name w:val="Titre 3 Car"/>
    <w:basedOn w:val="DefaultParagraphFont"/>
    <w:link w:val="Titre3"/>
    <w:qFormat/>
    <w:rsid w:val="00871c3d"/>
    <w:rPr>
      <w:rFonts w:ascii="Arial" w:hAnsi="Arial" w:eastAsia="Times New Roman" w:cs="Arial"/>
      <w:b/>
      <w:i/>
      <w:lang w:eastAsia="fr-FR"/>
    </w:rPr>
  </w:style>
  <w:style w:type="character" w:styleId="Titre4Car" w:customStyle="1">
    <w:name w:val="Titre 4 Car"/>
    <w:basedOn w:val="DefaultParagraphFont"/>
    <w:link w:val="Titre4"/>
    <w:qFormat/>
    <w:rsid w:val="00871c3d"/>
    <w:rPr>
      <w:rFonts w:ascii="Arial" w:hAnsi="Arial" w:eastAsia="Times New Roman" w:cs="Arial"/>
      <w:b/>
      <w:bCs/>
      <w:u w:val="single"/>
      <w:lang w:eastAsia="fr-FR"/>
    </w:rPr>
  </w:style>
  <w:style w:type="character" w:styleId="Titre5Car" w:customStyle="1">
    <w:name w:val="Titre 5 Car"/>
    <w:basedOn w:val="DefaultParagraphFont"/>
    <w:link w:val="Titre5"/>
    <w:qFormat/>
    <w:rsid w:val="00871c3d"/>
    <w:rPr>
      <w:rFonts w:ascii="Arial" w:hAnsi="Arial" w:eastAsia="Times New Roman" w:cs="Arial"/>
      <w:b/>
      <w:sz w:val="20"/>
      <w:u w:val="single"/>
      <w:lang w:eastAsia="fr-FR"/>
    </w:rPr>
  </w:style>
  <w:style w:type="character" w:styleId="Titre6Car" w:customStyle="1">
    <w:name w:val="Titre 6 Car"/>
    <w:basedOn w:val="DefaultParagraphFont"/>
    <w:link w:val="Titre6"/>
    <w:qFormat/>
    <w:rsid w:val="00871c3d"/>
    <w:rPr>
      <w:rFonts w:ascii="Arial" w:hAnsi="Arial" w:eastAsia="Times New Roman" w:cs="Arial"/>
      <w:b/>
      <w:bCs/>
      <w:lang w:eastAsia="fr-FR"/>
    </w:rPr>
  </w:style>
  <w:style w:type="character" w:styleId="Titre7Car" w:customStyle="1">
    <w:name w:val="Titre 7 Car"/>
    <w:basedOn w:val="DefaultParagraphFont"/>
    <w:link w:val="Titre7"/>
    <w:qFormat/>
    <w:rsid w:val="00871c3d"/>
    <w:rPr>
      <w:rFonts w:ascii="Arial" w:hAnsi="Arial" w:eastAsia="Times New Roman" w:cs="Arial"/>
      <w:b/>
      <w:lang w:eastAsia="fr-FR"/>
    </w:rPr>
  </w:style>
  <w:style w:type="character" w:styleId="Titre8Car" w:customStyle="1">
    <w:name w:val="Titre 8 Car"/>
    <w:basedOn w:val="DefaultParagraphFont"/>
    <w:link w:val="Titre8"/>
    <w:qFormat/>
    <w:rsid w:val="00871c3d"/>
    <w:rPr>
      <w:rFonts w:ascii="Arial" w:hAnsi="Arial" w:eastAsia="Times New Roman" w:cs="Arial"/>
      <w:b/>
      <w:sz w:val="20"/>
      <w:lang w:eastAsia="fr-FR"/>
    </w:rPr>
  </w:style>
  <w:style w:type="character" w:styleId="Titre9Car" w:customStyle="1">
    <w:name w:val="Titre 9 Car"/>
    <w:basedOn w:val="DefaultParagraphFont"/>
    <w:link w:val="Titre9"/>
    <w:qFormat/>
    <w:rsid w:val="00871c3d"/>
    <w:rPr>
      <w:rFonts w:ascii="Arial" w:hAnsi="Arial" w:eastAsia="Times New Roman" w:cs="Arial"/>
      <w:b/>
      <w:i/>
      <w:sz w:val="18"/>
      <w:lang w:eastAsia="fr-FR"/>
    </w:rPr>
  </w:style>
  <w:style w:type="character" w:styleId="EntteCar" w:customStyle="1">
    <w:name w:val="En-tête Car"/>
    <w:basedOn w:val="DefaultParagraphFont"/>
    <w:link w:val="En-tte"/>
    <w:qFormat/>
    <w:rsid w:val="00871c3d"/>
    <w:rPr>
      <w:rFonts w:ascii="Times New Roman" w:hAnsi="Times New Roman" w:eastAsia="Times New Roman" w:cs="Times New Roman"/>
      <w:sz w:val="20"/>
      <w:szCs w:val="20"/>
      <w:lang w:eastAsia="fr-FR"/>
    </w:rPr>
  </w:style>
  <w:style w:type="character" w:styleId="RetraitcorpsdetexteCar" w:customStyle="1">
    <w:name w:val="Retrait corps de texte Car"/>
    <w:basedOn w:val="DefaultParagraphFont"/>
    <w:link w:val="Retraitcorpsdetexte"/>
    <w:qFormat/>
    <w:rsid w:val="00871c3d"/>
    <w:rPr>
      <w:rFonts w:ascii="Arial" w:hAnsi="Arial" w:eastAsia="Times New Roman" w:cs="Arial"/>
      <w:lang w:eastAsia="fr-FR"/>
    </w:rPr>
  </w:style>
  <w:style w:type="character" w:styleId="CorpsdetexteCar" w:customStyle="1">
    <w:name w:val="Corps de texte Car"/>
    <w:basedOn w:val="DefaultParagraphFont"/>
    <w:link w:val="Corpsdetexte"/>
    <w:qFormat/>
    <w:rsid w:val="00871c3d"/>
    <w:rPr>
      <w:rFonts w:ascii="Times New Roman" w:hAnsi="Times New Roman" w:eastAsia="Times New Roman" w:cs="Times New Roman"/>
      <w:sz w:val="24"/>
      <w:szCs w:val="24"/>
      <w:lang w:eastAsia="fr-FR"/>
    </w:rPr>
  </w:style>
  <w:style w:type="character" w:styleId="Pagenumber">
    <w:name w:val="page number"/>
    <w:basedOn w:val="DefaultParagraphFont"/>
    <w:qFormat/>
    <w:rsid w:val="00871c3d"/>
    <w:rPr/>
  </w:style>
  <w:style w:type="character" w:styleId="PieddepageCar" w:customStyle="1">
    <w:name w:val="Pied de page Car"/>
    <w:basedOn w:val="DefaultParagraphFont"/>
    <w:link w:val="Pieddepage"/>
    <w:qFormat/>
    <w:rsid w:val="00871c3d"/>
    <w:rPr>
      <w:rFonts w:ascii="Times New Roman" w:hAnsi="Times New Roman" w:eastAsia="Times New Roman" w:cs="Times New Roman"/>
      <w:sz w:val="20"/>
      <w:szCs w:val="20"/>
      <w:lang w:eastAsia="fr-FR"/>
    </w:rPr>
  </w:style>
  <w:style w:type="character" w:styleId="Corpsdetexte2Car" w:customStyle="1">
    <w:name w:val="Corps de texte 2 Car"/>
    <w:basedOn w:val="DefaultParagraphFont"/>
    <w:link w:val="Corpsdetexte2"/>
    <w:qFormat/>
    <w:rsid w:val="00871c3d"/>
    <w:rPr>
      <w:rFonts w:ascii="Arial" w:hAnsi="Arial" w:eastAsia="Times New Roman" w:cs="Arial"/>
      <w:lang w:eastAsia="fr-FR"/>
    </w:rPr>
  </w:style>
  <w:style w:type="character" w:styleId="Retraitcorpsdetexte2Car" w:customStyle="1">
    <w:name w:val="Retrait corps de texte 2 Car"/>
    <w:basedOn w:val="DefaultParagraphFont"/>
    <w:link w:val="Retraitcorpsdetexte2"/>
    <w:qFormat/>
    <w:rsid w:val="00871c3d"/>
    <w:rPr>
      <w:rFonts w:ascii="Arial" w:hAnsi="Arial" w:eastAsia="Times New Roman" w:cs="Arial"/>
      <w:lang w:eastAsia="fr-FR"/>
    </w:rPr>
  </w:style>
  <w:style w:type="character" w:styleId="Retraitcorpsdetexte3Car" w:customStyle="1">
    <w:name w:val="Retrait corps de texte 3 Car"/>
    <w:basedOn w:val="DefaultParagraphFont"/>
    <w:link w:val="Retraitcorpsdetexte3"/>
    <w:qFormat/>
    <w:rsid w:val="00871c3d"/>
    <w:rPr>
      <w:rFonts w:ascii="Arial" w:hAnsi="Arial" w:eastAsia="Times New Roman" w:cs="Arial"/>
      <w:lang w:eastAsia="fr-FR"/>
    </w:rPr>
  </w:style>
  <w:style w:type="character" w:styleId="TextedebullesCar" w:customStyle="1">
    <w:name w:val="Texte de bulles Car"/>
    <w:basedOn w:val="DefaultParagraphFont"/>
    <w:link w:val="Textedebulles"/>
    <w:semiHidden/>
    <w:qFormat/>
    <w:rsid w:val="00871c3d"/>
    <w:rPr>
      <w:rFonts w:ascii="Tahoma" w:hAnsi="Tahoma" w:eastAsia="Times New Roman" w:cs="Monotype Sorts"/>
      <w:sz w:val="16"/>
      <w:szCs w:val="16"/>
      <w:lang w:eastAsia="fr-FR"/>
    </w:rPr>
  </w:style>
  <w:style w:type="character" w:styleId="Corpsdetexte3Car" w:customStyle="1">
    <w:name w:val="Corps de texte 3 Car"/>
    <w:basedOn w:val="DefaultParagraphFont"/>
    <w:link w:val="Corpsdetexte3"/>
    <w:qFormat/>
    <w:rsid w:val="00871c3d"/>
    <w:rPr>
      <w:rFonts w:ascii="Arial" w:hAnsi="Arial" w:eastAsia="Times New Roman" w:cs="Arial"/>
      <w:sz w:val="20"/>
      <w:u w:val="single"/>
      <w:lang w:eastAsia="fr-FR"/>
    </w:rPr>
  </w:style>
  <w:style w:type="character" w:styleId="TitreCar" w:customStyle="1">
    <w:name w:val="Titre Car"/>
    <w:basedOn w:val="DefaultParagraphFont"/>
    <w:link w:val="Titre"/>
    <w:qFormat/>
    <w:rsid w:val="00871c3d"/>
    <w:rPr>
      <w:rFonts w:ascii="Arial" w:hAnsi="Arial" w:eastAsia="Times New Roman" w:cs="Arial"/>
      <w:b/>
      <w:lang w:eastAsia="fr-FR"/>
    </w:rPr>
  </w:style>
  <w:style w:type="character" w:styleId="TextebrutCar" w:customStyle="1">
    <w:name w:val="Texte brut Car"/>
    <w:basedOn w:val="DefaultParagraphFont"/>
    <w:link w:val="Textebrut"/>
    <w:qFormat/>
    <w:rsid w:val="00871c3d"/>
    <w:rPr>
      <w:rFonts w:ascii="Courier New" w:hAnsi="Courier New" w:eastAsia="Times New Roman" w:cs="Arial"/>
      <w:sz w:val="20"/>
      <w:lang w:eastAsia="fr-FR"/>
    </w:rPr>
  </w:style>
  <w:style w:type="character" w:styleId="LienInternet">
    <w:name w:val="Lien Internet"/>
    <w:basedOn w:val="DefaultParagraphFont"/>
    <w:rsid w:val="00871c3d"/>
    <w:rPr>
      <w:color w:val="0000FF"/>
      <w:u w:val="single"/>
    </w:rPr>
  </w:style>
  <w:style w:type="character" w:styleId="SoustitreCar" w:customStyle="1">
    <w:name w:val="Sous-titre Car"/>
    <w:basedOn w:val="DefaultParagraphFont"/>
    <w:link w:val="Sous-titre"/>
    <w:qFormat/>
    <w:rsid w:val="00871c3d"/>
    <w:rPr>
      <w:rFonts w:ascii="Arial" w:hAnsi="Arial" w:eastAsia="Times New Roman" w:cs="Arial"/>
      <w:b/>
      <w:sz w:val="20"/>
      <w:lang w:eastAsia="fr-FR"/>
    </w:rPr>
  </w:style>
  <w:style w:type="character" w:styleId="NotedebasdepageCar" w:customStyle="1">
    <w:name w:val="Note de bas de page Car"/>
    <w:basedOn w:val="DefaultParagraphFont"/>
    <w:link w:val="Notedebasdepage"/>
    <w:qFormat/>
    <w:rsid w:val="00871c3d"/>
    <w:rPr>
      <w:rFonts w:ascii="Arial" w:hAnsi="Arial" w:eastAsia="Times New Roman" w:cs="Arial"/>
      <w:sz w:val="20"/>
      <w:szCs w:val="20"/>
      <w:lang w:eastAsia="fr-FR"/>
    </w:rPr>
  </w:style>
  <w:style w:type="character" w:styleId="CommentaireCar" w:customStyle="1">
    <w:name w:val="Commentaire Car"/>
    <w:basedOn w:val="DefaultParagraphFont"/>
    <w:link w:val="Commentaire"/>
    <w:semiHidden/>
    <w:qFormat/>
    <w:rsid w:val="00871c3d"/>
    <w:rPr>
      <w:rFonts w:ascii="Arial" w:hAnsi="Arial" w:eastAsia="Times New Roman" w:cs="Arial"/>
      <w:sz w:val="20"/>
      <w:szCs w:val="20"/>
      <w:lang w:eastAsia="fr-FR"/>
    </w:rPr>
  </w:style>
  <w:style w:type="character" w:styleId="ObjetducommentaireCar" w:customStyle="1">
    <w:name w:val="Objet du commentaire Car"/>
    <w:basedOn w:val="CommentaireCar"/>
    <w:link w:val="Objetducommentaire"/>
    <w:semiHidden/>
    <w:qFormat/>
    <w:rsid w:val="00871c3d"/>
    <w:rPr>
      <w:b/>
      <w:bCs/>
    </w:rPr>
  </w:style>
  <w:style w:type="character" w:styleId="FollowedHyperlink">
    <w:name w:val="FollowedHyperlink"/>
    <w:basedOn w:val="DefaultParagraphFont"/>
    <w:qFormat/>
    <w:rsid w:val="00871c3d"/>
    <w:rPr>
      <w:color w:val="800080"/>
      <w:u w:val="single"/>
    </w:rPr>
  </w:style>
  <w:style w:type="character" w:styleId="Strong">
    <w:name w:val="Strong"/>
    <w:basedOn w:val="DefaultParagraphFont"/>
    <w:qFormat/>
    <w:rsid w:val="00871c3d"/>
    <w:rPr>
      <w:b/>
      <w:bCs/>
    </w:rPr>
  </w:style>
  <w:style w:type="character" w:styleId="AMELIPLLoiTexteCarCar" w:customStyle="1">
    <w:name w:val="AMELIPL* Loi Texte Car Car"/>
    <w:basedOn w:val="DefaultParagraphFont"/>
    <w:link w:val="AMELIPLLoiTexte"/>
    <w:qFormat/>
    <w:locked/>
    <w:rsid w:val="00871c3d"/>
    <w:rPr>
      <w:sz w:val="28"/>
      <w:lang w:eastAsia="fr-FR"/>
    </w:rPr>
  </w:style>
  <w:style w:type="character" w:styleId="Accentuation">
    <w:name w:val="Accentuation"/>
    <w:basedOn w:val="DefaultParagraphFont"/>
    <w:qFormat/>
    <w:rsid w:val="00871c3d"/>
    <w:rPr>
      <w:i/>
    </w:rPr>
  </w:style>
  <w:style w:type="character" w:styleId="Fort" w:customStyle="1">
    <w:name w:val="Fort"/>
    <w:qFormat/>
    <w:rsid w:val="00871c3d"/>
    <w:rPr>
      <w:b/>
    </w:rPr>
  </w:style>
  <w:style w:type="character" w:styleId="Caractresdenotedebasdepage" w:customStyle="1">
    <w:name w:val="Caractères de note de bas de page"/>
    <w:basedOn w:val="DefaultParagraphFont"/>
    <w:qFormat/>
    <w:rsid w:val="00871c3d"/>
    <w:rPr>
      <w:vertAlign w:val="superscript"/>
    </w:rPr>
  </w:style>
  <w:style w:type="character" w:styleId="St" w:customStyle="1">
    <w:name w:val="st"/>
    <w:basedOn w:val="DefaultParagraphFont"/>
    <w:qFormat/>
    <w:rsid w:val="00871c3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Arial"/>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Arial"/>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u w:val="single"/>
    </w:rPr>
  </w:style>
  <w:style w:type="character" w:styleId="ListLabel47">
    <w:name w:val="ListLabel 47"/>
    <w:qFormat/>
    <w:rPr>
      <w:rFonts w:eastAsia="Times New Roman" w:cs="Arial"/>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Arial"/>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Arial"/>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Arial"/>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Arial"/>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871c3d"/>
    <w:pPr>
      <w:tabs>
        <w:tab w:val="left" w:pos="1125" w:leader="none"/>
      </w:tabs>
      <w:jc w:val="both"/>
    </w:pPr>
    <w:rPr>
      <w:rFonts w:ascii="Times New Roman" w:hAnsi="Times New Roman" w:cs="Times New Roman"/>
      <w:sz w:val="24"/>
      <w:szCs w:val="24"/>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ragraphenorCarCarCarCarCarCarCarCarCarCarCarCarCarCarCarCarCarCarCarCarCarCarCarCarCarCarCarCarCarCarCarCarCarCar" w:customStyle="1">
    <w:name w:val="Paragraphe nor Car Car Car Car Car Car Car Car Car Car Car Car Car Car Car Car Car Car Car Car Car Car Car Car Car Car Car Car Car Car Car Car Car Car"/>
    <w:basedOn w:val="Normal"/>
    <w:qFormat/>
    <w:rsid w:val="00871c3d"/>
    <w:pPr>
      <w:spacing w:lineRule="exact" w:line="240" w:before="120" w:after="120"/>
      <w:ind w:firstLine="709"/>
      <w:jc w:val="both"/>
    </w:pPr>
    <w:rPr>
      <w:rFonts w:ascii="Times New Roman" w:hAnsi="Times New Roman" w:cs="Times New Roman"/>
      <w:sz w:val="28"/>
      <w:szCs w:val="20"/>
      <w:lang w:val="en-US" w:eastAsia="en-US"/>
    </w:rPr>
  </w:style>
  <w:style w:type="paragraph" w:styleId="Entte">
    <w:name w:val="Header"/>
    <w:basedOn w:val="Normal"/>
    <w:link w:val="En-tteCar"/>
    <w:rsid w:val="00871c3d"/>
    <w:pPr>
      <w:tabs>
        <w:tab w:val="center" w:pos="4536" w:leader="none"/>
        <w:tab w:val="right" w:pos="9072" w:leader="none"/>
      </w:tabs>
    </w:pPr>
    <w:rPr>
      <w:rFonts w:ascii="Times New Roman" w:hAnsi="Times New Roman" w:cs="Times New Roman"/>
      <w:sz w:val="20"/>
      <w:szCs w:val="20"/>
    </w:rPr>
  </w:style>
  <w:style w:type="paragraph" w:styleId="Retraitdecorpsdetexte">
    <w:name w:val="Body Text Indent"/>
    <w:basedOn w:val="Normal"/>
    <w:link w:val="RetraitcorpsdetexteCar"/>
    <w:rsid w:val="00871c3d"/>
    <w:pPr>
      <w:pBdr>
        <w:top w:val="single" w:sz="4" w:space="1" w:color="000000"/>
        <w:left w:val="single" w:sz="4" w:space="4" w:color="000000"/>
        <w:bottom w:val="single" w:sz="4" w:space="1" w:color="000000"/>
        <w:right w:val="single" w:sz="4" w:space="4" w:color="000000"/>
      </w:pBdr>
      <w:tabs>
        <w:tab w:val="left" w:pos="1134" w:leader="none"/>
        <w:tab w:val="left" w:pos="4820" w:leader="none"/>
        <w:tab w:val="left" w:pos="9356" w:leader="none"/>
      </w:tabs>
      <w:ind w:right="-375" w:hanging="0"/>
      <w:jc w:val="both"/>
    </w:pPr>
    <w:rPr/>
  </w:style>
  <w:style w:type="paragraph" w:styleId="Titre1TITRE11" w:customStyle="1">
    <w:name w:val="Titre 1.TITRE 11"/>
    <w:basedOn w:val="Normal"/>
    <w:next w:val="Normal"/>
    <w:qFormat/>
    <w:rsid w:val="00871c3d"/>
    <w:pPr>
      <w:keepNext w:val="true"/>
      <w:jc w:val="both"/>
      <w:outlineLvl w:val="0"/>
    </w:pPr>
    <w:rPr>
      <w:rFonts w:ascii="Times New Roman" w:hAnsi="Times New Roman" w:cs="Times New Roman"/>
      <w:b/>
      <w:bCs/>
      <w:sz w:val="24"/>
      <w:szCs w:val="24"/>
    </w:rPr>
  </w:style>
  <w:style w:type="paragraph" w:styleId="EspAv1" w:customStyle="1">
    <w:name w:val="EspAv 1"/>
    <w:basedOn w:val="Normal"/>
    <w:qFormat/>
    <w:rsid w:val="00871c3d"/>
    <w:pPr>
      <w:keepLines/>
      <w:spacing w:before="240" w:after="0"/>
      <w:jc w:val="both"/>
    </w:pPr>
    <w:rPr/>
  </w:style>
  <w:style w:type="paragraph" w:styleId="Pieddepage">
    <w:name w:val="Footer"/>
    <w:basedOn w:val="Normal"/>
    <w:link w:val="PieddepageCar"/>
    <w:rsid w:val="00871c3d"/>
    <w:pPr>
      <w:tabs>
        <w:tab w:val="center" w:pos="4536" w:leader="none"/>
        <w:tab w:val="right" w:pos="9072" w:leader="none"/>
      </w:tabs>
    </w:pPr>
    <w:rPr>
      <w:rFonts w:ascii="Times New Roman" w:hAnsi="Times New Roman" w:cs="Times New Roman"/>
      <w:sz w:val="20"/>
      <w:szCs w:val="20"/>
    </w:rPr>
  </w:style>
  <w:style w:type="paragraph" w:styleId="BodyText2">
    <w:name w:val="Body Text 2"/>
    <w:basedOn w:val="Normal"/>
    <w:link w:val="Corpsdetexte2Car"/>
    <w:qFormat/>
    <w:rsid w:val="00871c3d"/>
    <w:pPr>
      <w:ind w:right="789" w:hanging="0"/>
    </w:pPr>
    <w:rPr/>
  </w:style>
  <w:style w:type="paragraph" w:styleId="BodyTextIndent2">
    <w:name w:val="Body Text Indent 2"/>
    <w:basedOn w:val="Normal"/>
    <w:link w:val="Retraitcorpsdetexte2Car"/>
    <w:qFormat/>
    <w:rsid w:val="00871c3d"/>
    <w:pPr>
      <w:ind w:firstLine="708"/>
      <w:jc w:val="both"/>
    </w:pPr>
    <w:rPr/>
  </w:style>
  <w:style w:type="paragraph" w:styleId="BodyTextIndent3">
    <w:name w:val="Body Text Indent 3"/>
    <w:basedOn w:val="Normal"/>
    <w:link w:val="Retraitcorpsdetexte3Car"/>
    <w:qFormat/>
    <w:rsid w:val="00871c3d"/>
    <w:pPr>
      <w:ind w:firstLine="567"/>
      <w:jc w:val="both"/>
    </w:pPr>
    <w:rPr/>
  </w:style>
  <w:style w:type="paragraph" w:styleId="ExpoTexte" w:customStyle="1">
    <w:name w:val="expo Texte"/>
    <w:basedOn w:val="Normal"/>
    <w:qFormat/>
    <w:rsid w:val="00871c3d"/>
    <w:pPr>
      <w:keepLines/>
      <w:pBdr>
        <w:left w:val="single" w:sz="6" w:space="1" w:color="00FFFF"/>
      </w:pBdr>
      <w:shd w:val="clear" w:color="00FFFF" w:fill="auto"/>
      <w:spacing w:before="60" w:after="60"/>
      <w:jc w:val="both"/>
    </w:pPr>
    <w:rPr>
      <w:rFonts w:ascii="Times New Roman" w:hAnsi="Times New Roman" w:cs="Times New Roman"/>
      <w:sz w:val="20"/>
      <w:szCs w:val="20"/>
    </w:rPr>
  </w:style>
  <w:style w:type="paragraph" w:styleId="BalloonText">
    <w:name w:val="Balloon Text"/>
    <w:basedOn w:val="Normal"/>
    <w:link w:val="TextedebullesCar"/>
    <w:semiHidden/>
    <w:qFormat/>
    <w:rsid w:val="00871c3d"/>
    <w:pPr/>
    <w:rPr>
      <w:rFonts w:ascii="Tahoma" w:hAnsi="Tahoma" w:cs="Monotype Sorts"/>
      <w:sz w:val="16"/>
      <w:szCs w:val="16"/>
    </w:rPr>
  </w:style>
  <w:style w:type="paragraph" w:styleId="BodyText3">
    <w:name w:val="Body Text 3"/>
    <w:basedOn w:val="Normal"/>
    <w:link w:val="Corpsdetexte3Car"/>
    <w:qFormat/>
    <w:rsid w:val="00871c3d"/>
    <w:pPr/>
    <w:rPr>
      <w:sz w:val="20"/>
      <w:u w:val="single"/>
    </w:rPr>
  </w:style>
  <w:style w:type="paragraph" w:styleId="Titreprincipal">
    <w:name w:val="Title"/>
    <w:basedOn w:val="Normal"/>
    <w:link w:val="TitreCar"/>
    <w:qFormat/>
    <w:rsid w:val="00871c3d"/>
    <w:pPr>
      <w:jc w:val="center"/>
    </w:pPr>
    <w:rPr>
      <w:b/>
    </w:rPr>
  </w:style>
  <w:style w:type="paragraph" w:styleId="Titre1TITRE1" w:customStyle="1">
    <w:name w:val="Titre 1.TITRE 1"/>
    <w:basedOn w:val="Normal"/>
    <w:next w:val="Normal"/>
    <w:qFormat/>
    <w:rsid w:val="00871c3d"/>
    <w:pPr>
      <w:keepNext w:val="true"/>
      <w:tabs>
        <w:tab w:val="left" w:pos="709" w:leader="none"/>
      </w:tabs>
      <w:ind w:firstLine="1134"/>
      <w:jc w:val="both"/>
      <w:outlineLvl w:val="0"/>
    </w:pPr>
    <w:rPr>
      <w:b/>
      <w:i/>
    </w:rPr>
  </w:style>
  <w:style w:type="paragraph" w:styleId="NormalIndent">
    <w:name w:val="Normal Indent"/>
    <w:basedOn w:val="Normal"/>
    <w:qFormat/>
    <w:rsid w:val="00871c3d"/>
    <w:pPr>
      <w:keepNext w:val="true"/>
      <w:keepLines/>
      <w:ind w:left="709" w:right="567" w:firstLine="567"/>
      <w:jc w:val="both"/>
    </w:pPr>
    <w:rPr>
      <w:sz w:val="21"/>
    </w:rPr>
  </w:style>
  <w:style w:type="paragraph" w:styleId="PlainText">
    <w:name w:val="Plain Text"/>
    <w:basedOn w:val="Normal"/>
    <w:link w:val="TextebrutCar"/>
    <w:qFormat/>
    <w:rsid w:val="00871c3d"/>
    <w:pPr/>
    <w:rPr>
      <w:rFonts w:ascii="Courier New" w:hAnsi="Courier New"/>
      <w:sz w:val="20"/>
    </w:rPr>
  </w:style>
  <w:style w:type="paragraph" w:styleId="Soustitre">
    <w:name w:val="Subtitle"/>
    <w:basedOn w:val="Normal"/>
    <w:link w:val="Sous-titreCar"/>
    <w:qFormat/>
    <w:rsid w:val="00871c3d"/>
    <w:pPr>
      <w:jc w:val="center"/>
    </w:pPr>
    <w:rPr>
      <w:b/>
      <w:sz w:val="20"/>
    </w:rPr>
  </w:style>
  <w:style w:type="paragraph" w:styleId="Corpsdetexte1" w:customStyle="1">
    <w:name w:val="corps de texte"/>
    <w:basedOn w:val="Normal"/>
    <w:qFormat/>
    <w:rsid w:val="00871c3d"/>
    <w:pPr>
      <w:spacing w:before="0" w:after="240"/>
      <w:ind w:left="2268" w:hanging="0"/>
      <w:jc w:val="both"/>
    </w:pPr>
    <w:rPr>
      <w:rFonts w:ascii="Times New Roman" w:hAnsi="Times New Roman" w:cs="Times New Roman"/>
      <w:szCs w:val="20"/>
    </w:rPr>
  </w:style>
  <w:style w:type="paragraph" w:styleId="Notedebasdepage">
    <w:name w:val="Footnote Text"/>
    <w:basedOn w:val="Normal"/>
    <w:link w:val="NotedebasdepageCar"/>
    <w:rsid w:val="00871c3d"/>
    <w:pPr/>
    <w:rPr>
      <w:sz w:val="20"/>
      <w:szCs w:val="20"/>
    </w:rPr>
  </w:style>
  <w:style w:type="paragraph" w:styleId="Annotationtext">
    <w:name w:val="annotation text"/>
    <w:basedOn w:val="Normal"/>
    <w:link w:val="CommentaireCar"/>
    <w:semiHidden/>
    <w:qFormat/>
    <w:rsid w:val="00871c3d"/>
    <w:pPr/>
    <w:rPr>
      <w:sz w:val="20"/>
      <w:szCs w:val="20"/>
    </w:rPr>
  </w:style>
  <w:style w:type="paragraph" w:styleId="Annotationsubject">
    <w:name w:val="annotation subject"/>
    <w:basedOn w:val="Annotationtext"/>
    <w:link w:val="ObjetducommentaireCar"/>
    <w:semiHidden/>
    <w:qFormat/>
    <w:rsid w:val="00871c3d"/>
    <w:pPr/>
    <w:rPr>
      <w:b/>
      <w:bCs/>
    </w:rPr>
  </w:style>
  <w:style w:type="paragraph" w:styleId="NormalWeb">
    <w:name w:val="Normal (Web)"/>
    <w:basedOn w:val="Normal"/>
    <w:uiPriority w:val="99"/>
    <w:qFormat/>
    <w:rsid w:val="00871c3d"/>
    <w:pPr>
      <w:spacing w:beforeAutospacing="1" w:afterAutospacing="1"/>
      <w:ind w:left="75" w:right="225" w:hanging="0"/>
    </w:pPr>
    <w:rPr>
      <w:sz w:val="20"/>
      <w:szCs w:val="20"/>
    </w:rPr>
  </w:style>
  <w:style w:type="paragraph" w:styleId="Style11" w:customStyle="1">
    <w:name w:val="style 1"/>
    <w:basedOn w:val="PlainText"/>
    <w:qFormat/>
    <w:rsid w:val="00871c3d"/>
    <w:pPr>
      <w:jc w:val="both"/>
    </w:pPr>
    <w:rPr>
      <w:rFonts w:ascii="Times New Roman" w:hAnsi="Times New Roman" w:cs="Times New Roman"/>
      <w:sz w:val="24"/>
      <w:szCs w:val="20"/>
    </w:rPr>
  </w:style>
  <w:style w:type="paragraph" w:styleId="Para1" w:customStyle="1">
    <w:name w:val="para1"/>
    <w:qFormat/>
    <w:rsid w:val="00871c3d"/>
    <w:pPr>
      <w:widowControl/>
      <w:bidi w:val="0"/>
      <w:spacing w:lineRule="exact" w:line="220" w:before="0" w:after="0"/>
      <w:ind w:left="2777" w:hanging="0"/>
      <w:jc w:val="both"/>
    </w:pPr>
    <w:rPr>
      <w:rFonts w:ascii="Times" w:hAnsi="Times" w:eastAsia="Times New Roman" w:cs="Times New Roman"/>
      <w:color w:val="auto"/>
      <w:kern w:val="0"/>
      <w:sz w:val="20"/>
      <w:szCs w:val="20"/>
      <w:lang w:eastAsia="fr-FR" w:val="fr-FR" w:bidi="ar-SA"/>
    </w:rPr>
  </w:style>
  <w:style w:type="paragraph" w:styleId="Signature2" w:customStyle="1">
    <w:name w:val="Signature - 2"/>
    <w:basedOn w:val="Normal"/>
    <w:qFormat/>
    <w:rsid w:val="00871c3d"/>
    <w:pPr>
      <w:spacing w:lineRule="atLeast" w:line="240" w:before="0" w:after="480"/>
      <w:ind w:left="5613" w:right="851" w:hanging="0"/>
      <w:jc w:val="right"/>
    </w:pPr>
    <w:rPr>
      <w:rFonts w:cs="Times New Roman"/>
      <w:sz w:val="20"/>
      <w:szCs w:val="20"/>
    </w:rPr>
  </w:style>
  <w:style w:type="paragraph" w:styleId="ArtTexte" w:customStyle="1">
    <w:name w:val="art Texte"/>
    <w:basedOn w:val="Normal"/>
    <w:qFormat/>
    <w:rsid w:val="00871c3d"/>
    <w:pPr>
      <w:keepLines/>
      <w:spacing w:before="60" w:after="60"/>
      <w:jc w:val="both"/>
    </w:pPr>
    <w:rPr>
      <w:rFonts w:ascii="Times New Roman" w:hAnsi="Times New Roman" w:cs="Times New Roman"/>
      <w:sz w:val="20"/>
      <w:szCs w:val="20"/>
    </w:rPr>
  </w:style>
  <w:style w:type="paragraph" w:styleId="Norm" w:customStyle="1">
    <w:name w:val="Norm"/>
    <w:basedOn w:val="Normal"/>
    <w:qFormat/>
    <w:rsid w:val="00871c3d"/>
    <w:pPr>
      <w:tabs>
        <w:tab w:val="left" w:pos="-993" w:leader="none"/>
        <w:tab w:val="left" w:pos="12157" w:leader="none"/>
      </w:tabs>
      <w:spacing w:before="0" w:after="240"/>
      <w:ind w:right="4" w:hanging="0"/>
      <w:jc w:val="both"/>
    </w:pPr>
    <w:rPr>
      <w:rFonts w:ascii="Times New Roman" w:hAnsi="Times New Roman" w:cs="Times New Roman"/>
      <w:sz w:val="24"/>
      <w:szCs w:val="20"/>
    </w:rPr>
  </w:style>
  <w:style w:type="paragraph" w:styleId="Norm2" w:customStyle="1">
    <w:name w:val="Norm2"/>
    <w:basedOn w:val="Norm"/>
    <w:next w:val="Norm"/>
    <w:qFormat/>
    <w:rsid w:val="00871c3d"/>
    <w:pPr>
      <w:spacing w:before="360" w:after="240"/>
      <w:ind w:right="6" w:hanging="0"/>
    </w:pPr>
    <w:rPr/>
  </w:style>
  <w:style w:type="paragraph" w:styleId="Style12" w:customStyle="1">
    <w:name w:val="Style1"/>
    <w:basedOn w:val="PlainText"/>
    <w:qFormat/>
    <w:rsid w:val="00871c3d"/>
    <w:pPr>
      <w:pBdr>
        <w:top w:val="single" w:sz="18" w:space="1" w:color="000000"/>
        <w:left w:val="single" w:sz="18" w:space="4" w:color="000000"/>
        <w:bottom w:val="single" w:sz="18" w:space="1" w:color="000000"/>
        <w:right w:val="single" w:sz="18" w:space="4" w:color="000000"/>
      </w:pBdr>
      <w:jc w:val="center"/>
    </w:pPr>
    <w:rPr>
      <w:rFonts w:ascii="Times New Roman" w:hAnsi="Times New Roman" w:cs="Times New Roman"/>
      <w:b/>
      <w:sz w:val="36"/>
      <w:szCs w:val="20"/>
      <w:u w:val="single"/>
    </w:rPr>
  </w:style>
  <w:style w:type="paragraph" w:styleId="Textebrutstyle2" w:customStyle="1">
    <w:name w:val="Texte brut.style2"/>
    <w:basedOn w:val="Normal"/>
    <w:qFormat/>
    <w:rsid w:val="00871c3d"/>
    <w:pPr/>
    <w:rPr>
      <w:rFonts w:ascii="Courier New" w:hAnsi="Courier New" w:cs="Times New Roman"/>
      <w:sz w:val="20"/>
      <w:szCs w:val="20"/>
    </w:rPr>
  </w:style>
  <w:style w:type="paragraph" w:styleId="Corpsdetexte21" w:customStyle="1">
    <w:name w:val="Corps de texte 21"/>
    <w:basedOn w:val="Normal"/>
    <w:qFormat/>
    <w:rsid w:val="00871c3d"/>
    <w:pPr>
      <w:jc w:val="both"/>
    </w:pPr>
    <w:rPr>
      <w:rFonts w:cs="Times New Roman"/>
      <w:sz w:val="20"/>
      <w:szCs w:val="20"/>
    </w:rPr>
  </w:style>
  <w:style w:type="paragraph" w:styleId="Normal12pt" w:customStyle="1">
    <w:name w:val="Normal + 12 pt"/>
    <w:basedOn w:val="Normal"/>
    <w:qFormat/>
    <w:rsid w:val="00871c3d"/>
    <w:pPr>
      <w:spacing w:before="60" w:after="60"/>
    </w:pPr>
    <w:rPr>
      <w:rFonts w:ascii="Times New Roman" w:hAnsi="Times New Roman" w:cs="Times New Roman"/>
      <w:sz w:val="24"/>
      <w:szCs w:val="20"/>
    </w:rPr>
  </w:style>
  <w:style w:type="paragraph" w:styleId="AMELIPLLoiTexte" w:customStyle="1">
    <w:name w:val="AMELIPL* Loi Texte"/>
    <w:basedOn w:val="Normal"/>
    <w:link w:val="AMELIPLLoiTexteCarCar"/>
    <w:qFormat/>
    <w:rsid w:val="00871c3d"/>
    <w:pPr>
      <w:tabs>
        <w:tab w:val="right" w:pos="7371" w:leader="dot"/>
      </w:tabs>
      <w:overflowPunct w:val="true"/>
      <w:spacing w:before="0" w:after="240"/>
      <w:ind w:firstLine="510"/>
      <w:jc w:val="both"/>
    </w:pPr>
    <w:rPr>
      <w:rFonts w:ascii="Calibri" w:hAnsi="Calibri" w:eastAsia="Calibri" w:cs="" w:asciiTheme="minorHAnsi" w:cstheme="minorBidi" w:eastAsiaTheme="minorHAnsi" w:hAnsiTheme="minorHAnsi"/>
      <w:sz w:val="28"/>
    </w:rPr>
  </w:style>
  <w:style w:type="paragraph" w:styleId="SNNature" w:customStyle="1">
    <w:name w:val="SNNature"/>
    <w:basedOn w:val="Normal"/>
    <w:autoRedefine/>
    <w:qFormat/>
    <w:rsid w:val="00871c3d"/>
    <w:pPr>
      <w:widowControl w:val="false"/>
      <w:suppressLineNumbers/>
      <w:suppressAutoHyphens w:val="true"/>
      <w:spacing w:before="720" w:after="120"/>
      <w:jc w:val="center"/>
    </w:pPr>
    <w:rPr>
      <w:rFonts w:ascii="Times New Roman" w:hAnsi="Times New Roman" w:eastAsia="Lucida Sans Unicode" w:cs="Times New Roman"/>
      <w:b/>
      <w:bCs/>
      <w:sz w:val="24"/>
      <w:szCs w:val="24"/>
    </w:rPr>
  </w:style>
  <w:style w:type="paragraph" w:styleId="SNtitre" w:customStyle="1">
    <w:name w:val="SNtitre"/>
    <w:basedOn w:val="Normal"/>
    <w:autoRedefine/>
    <w:qFormat/>
    <w:rsid w:val="00871c3d"/>
    <w:pPr>
      <w:widowControl w:val="false"/>
      <w:suppressLineNumbers/>
      <w:suppressAutoHyphens w:val="true"/>
      <w:spacing w:before="0" w:after="360"/>
      <w:jc w:val="center"/>
    </w:pPr>
    <w:rPr>
      <w:rFonts w:ascii="Times New Roman" w:hAnsi="Times New Roman" w:eastAsia="Lucida Sans Unicode" w:cs="Times New Roman"/>
      <w:b/>
      <w:sz w:val="24"/>
      <w:szCs w:val="24"/>
    </w:rPr>
  </w:style>
  <w:style w:type="paragraph" w:styleId="SNNORCentr" w:customStyle="1">
    <w:name w:val="SNNOR+Centré"/>
    <w:next w:val="Normal"/>
    <w:qFormat/>
    <w:rsid w:val="00871c3d"/>
    <w:pPr>
      <w:widowControl/>
      <w:bidi w:val="0"/>
      <w:spacing w:lineRule="auto" w:line="480" w:before="0" w:after="0"/>
      <w:jc w:val="center"/>
    </w:pPr>
    <w:rPr>
      <w:rFonts w:ascii="Times New Roman" w:hAnsi="Times New Roman" w:eastAsia="Times New Roman" w:cs="Times New Roman"/>
      <w:bCs/>
      <w:color w:val="auto"/>
      <w:kern w:val="0"/>
      <w:sz w:val="24"/>
      <w:szCs w:val="20"/>
      <w:lang w:eastAsia="fr-FR" w:val="fr-FR" w:bidi="ar-SA"/>
    </w:rPr>
  </w:style>
  <w:style w:type="paragraph" w:styleId="ListParagraph">
    <w:name w:val="List Paragraph"/>
    <w:basedOn w:val="Normal"/>
    <w:uiPriority w:val="34"/>
    <w:qFormat/>
    <w:rsid w:val="00871c3d"/>
    <w:pPr>
      <w:spacing w:lineRule="auto" w:line="276" w:before="0" w:after="200"/>
      <w:ind w:left="720" w:hanging="0"/>
      <w:contextualSpacing/>
    </w:pPr>
    <w:rPr>
      <w:rFonts w:ascii="Calibri" w:hAnsi="Calibri" w:eastAsia="Calibri" w:cs="Times New Roman"/>
      <w:lang w:eastAsia="en-US"/>
    </w:rPr>
  </w:style>
  <w:style w:type="paragraph" w:styleId="Entte2" w:customStyle="1">
    <w:name w:val="En-tête 2"/>
    <w:basedOn w:val="Normal"/>
    <w:autoRedefine/>
    <w:qFormat/>
    <w:rsid w:val="00871c3d"/>
    <w:pPr/>
    <w:rPr>
      <w:sz w:val="18"/>
      <w:szCs w:val="18"/>
    </w:rPr>
  </w:style>
  <w:style w:type="paragraph" w:styleId="Western" w:customStyle="1">
    <w:name w:val="western"/>
    <w:basedOn w:val="Normal"/>
    <w:qFormat/>
    <w:rsid w:val="00871c3d"/>
    <w:pPr>
      <w:spacing w:before="119" w:after="0"/>
      <w:jc w:val="center"/>
    </w:pPr>
    <w:rPr>
      <w:b/>
      <w:bCs/>
      <w:color w:val="000000"/>
      <w:sz w:val="20"/>
      <w:szCs w:val="20"/>
    </w:rPr>
  </w:style>
  <w:style w:type="paragraph" w:styleId="DBRetraitcorpsdetexte" w:customStyle="1">
    <w:name w:val="DB Retrait corps de texte"/>
    <w:basedOn w:val="Normal"/>
    <w:qFormat/>
    <w:rsid w:val="00871c3d"/>
    <w:pPr>
      <w:keepLines/>
      <w:spacing w:before="120" w:after="120"/>
      <w:ind w:firstLine="1134"/>
      <w:jc w:val="both"/>
    </w:pPr>
    <w:rPr>
      <w:rFonts w:ascii="Times New Roman" w:hAnsi="Times New Roman" w:cs="Times New Roman"/>
      <w:sz w:val="20"/>
      <w:szCs w:val="20"/>
    </w:rPr>
  </w:style>
  <w:style w:type="paragraph" w:styleId="FPFprojetloiartexte" w:customStyle="1">
    <w:name w:val="FPFprojetloiartexte"/>
    <w:basedOn w:val="Normal"/>
    <w:uiPriority w:val="99"/>
    <w:qFormat/>
    <w:rsid w:val="00871c3d"/>
    <w:pPr>
      <w:spacing w:before="60" w:after="60"/>
      <w:jc w:val="both"/>
    </w:pPr>
    <w:rPr>
      <w:sz w:val="20"/>
      <w:szCs w:val="20"/>
    </w:rPr>
  </w:style>
  <w:style w:type="paragraph" w:styleId="ListBullet">
    <w:name w:val="List Bullet"/>
    <w:basedOn w:val="Normal"/>
    <w:qFormat/>
    <w:rsid w:val="00871c3d"/>
    <w:pPr>
      <w:spacing w:before="0" w:after="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LibreOffice/6.0.7.3$Windows_X86_64 LibreOffice_project/dc89aa7a9eabfd848af146d5086077aeed2ae4a5</Application>
  <Pages>21</Pages>
  <Words>2540</Words>
  <Characters>13242</Characters>
  <CharactersWithSpaces>15939</CharactersWithSpaces>
  <Paragraphs>387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2020-01-08T10:13:00Z</dcterms:created>
  <dc:creator>BERGASA Ingrid</dc:creator>
  <dc:description/>
  <dc:language>fr-FR</dc:language>
  <cp:lastModifiedBy/>
  <dcterms:modified xsi:type="dcterms:W3CDTF">2021-01-25T13:00:01Z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